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5" w:type="dxa"/>
        <w:tblInd w:w="-993" w:type="dxa"/>
        <w:tblLook w:val="04A0" w:firstRow="1" w:lastRow="0" w:firstColumn="1" w:lastColumn="0" w:noHBand="0" w:noVBand="1"/>
      </w:tblPr>
      <w:tblGrid>
        <w:gridCol w:w="754"/>
        <w:gridCol w:w="5596"/>
        <w:gridCol w:w="1787"/>
        <w:gridCol w:w="1461"/>
        <w:gridCol w:w="1318"/>
        <w:gridCol w:w="200"/>
        <w:gridCol w:w="1199"/>
        <w:gridCol w:w="920"/>
        <w:gridCol w:w="436"/>
        <w:gridCol w:w="318"/>
        <w:gridCol w:w="436"/>
      </w:tblGrid>
      <w:tr w:rsidR="00F0681D" w:rsidRPr="001744DE" w14:paraId="13B68DB6" w14:textId="77777777" w:rsidTr="005076F5">
        <w:trPr>
          <w:gridAfter w:val="1"/>
          <w:wAfter w:w="436" w:type="dxa"/>
          <w:trHeight w:val="34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A09C9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Broj RKP-a: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22621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4C2659BB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AOP oznaka razdoblja: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2022-12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764D428E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Matični broj: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03205177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0CFF49CF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Naziv obveznika: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INSTITUT ZA RAZVOJ I  MEĐUNARODNE ODNOSE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38BF465E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Pošta i mjesto: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10000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ab/>
              <w:t>ZAGREB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1CFB5885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Ulica i kućni broj: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LJ.F.VUKOTINOVIĆA 2/II</w:t>
            </w:r>
          </w:p>
          <w:p w14:paraId="717FAE05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OIB: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31120185175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4A43EF80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Razina: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11 Proračunski korisnik državnog proračuna i glava unutar nadležnog ministarstva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2B47DABE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Šifra djelatnosti: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7220 Istraživanje i eksperimentalni razvoj u društvenim i humanističkim znanostima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7E9F6B4F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Razdjel: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080 Razdjel: MINISTARSTVO ZNANOSTI I OBRAZOVANJA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44E4B00F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Šifra grada/općine: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133 Županija: GRAD ZAGREB, grad/općina: GRAD ZAGREB</w:t>
            </w:r>
          </w:p>
          <w:p w14:paraId="1442FAC1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Osoba za kontaktiranje: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Milva Pavičin-Karamatić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</w:p>
          <w:p w14:paraId="689A86A4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Telefon: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014877460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  <w:t xml:space="preserve"> </w:t>
            </w:r>
          </w:p>
          <w:p w14:paraId="0B2C3B31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Adresa e-pošte za kontakt: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milva@irmo.hr</w:t>
            </w:r>
          </w:p>
          <w:p w14:paraId="3AE772B6" w14:textId="77777777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Adresa e-pošte obveznika: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ured@irmo.hr</w:t>
            </w:r>
          </w:p>
          <w:p w14:paraId="6432588A" w14:textId="5C287486" w:rsidR="00362375" w:rsidRPr="00BA23FA" w:rsidRDefault="00362375" w:rsidP="00362375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Zakonski predstavnik: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ab/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dr. sc Sanja Tišma</w:t>
            </w:r>
          </w:p>
          <w:p w14:paraId="23A37282" w14:textId="77777777" w:rsidR="00362375" w:rsidRPr="001744DE" w:rsidRDefault="00362375" w:rsidP="00945E7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765DE72E" w14:textId="77777777" w:rsidR="00362375" w:rsidRPr="001744DE" w:rsidRDefault="00362375" w:rsidP="00945E7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85A4B7C" w14:textId="506CBB65" w:rsidR="00945E73" w:rsidRPr="00BA23FA" w:rsidRDefault="00945E73" w:rsidP="00945E73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BILJEŠKE UZ FINANCIJSKE IZVJEŠTAJE ZA RAZDOBLJE OD  1. SIJEČNJA 202</w:t>
            </w:r>
            <w:r w:rsidR="00DD27B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  DO  31. PROSINCA 202</w:t>
            </w:r>
            <w:r w:rsidR="00DD27B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GODINE</w:t>
            </w:r>
          </w:p>
          <w:p w14:paraId="73715AE4" w14:textId="7D91A1B1" w:rsidR="00945E73" w:rsidRPr="00BA23FA" w:rsidRDefault="00945E73" w:rsidP="00945E7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su sastavljene na temelju članka 105 Zakona o proračunu (NN 87/08., 136/12., 15/15.) i Pravilnika o financijskom izvještavanju u proračunskom računovodstvu (NN3/15., 93/15., 135/15., 2/17., 112/18., 126/19., 145/20., 32/21.) kojim je propisana obveza sastavljanja financijskih izvještaja i Bilješki uz financijske izvještaje.</w:t>
            </w:r>
          </w:p>
          <w:p w14:paraId="62CF0189" w14:textId="09FA2D92" w:rsidR="00945E73" w:rsidRPr="001744DE" w:rsidRDefault="00945E7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5DB2F934" w14:textId="360F1E73" w:rsidR="00807752" w:rsidRPr="001744DE" w:rsidRDefault="0080775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7D100474" w14:textId="77777777" w:rsidR="00807752" w:rsidRPr="001744DE" w:rsidRDefault="00807752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724FC57" w14:textId="68EDCEDC" w:rsidR="00945E73" w:rsidRPr="001744DE" w:rsidRDefault="00945E73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Uvod</w:t>
            </w:r>
          </w:p>
          <w:tbl>
            <w:tblPr>
              <w:tblW w:w="0" w:type="auto"/>
              <w:tblCellSpacing w:w="15" w:type="dxa"/>
              <w:tblInd w:w="15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1D1E34" w:rsidRPr="001744DE" w14:paraId="5596FD0E" w14:textId="77777777" w:rsidTr="001D1E3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55451081" w14:textId="40C288AD" w:rsidR="001D1E34" w:rsidRPr="001744DE" w:rsidRDefault="00D4233E" w:rsidP="001744DE">
                  <w:pPr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Puni n</w:t>
                  </w:r>
                  <w:r w:rsidR="001D1E34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aziv:</w:t>
                  </w: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 xml:space="preserve"> </w:t>
                  </w:r>
                  <w:r w:rsidR="001D1E34" w:rsidRPr="001744DE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Institut za razvoj i međunarodne odnose</w:t>
                  </w:r>
                </w:p>
              </w:tc>
            </w:tr>
          </w:tbl>
          <w:p w14:paraId="1C76D3E9" w14:textId="77777777" w:rsidR="001D1E34" w:rsidRPr="001744DE" w:rsidRDefault="001D1E34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tbl>
            <w:tblPr>
              <w:tblW w:w="0" w:type="auto"/>
              <w:tblCellSpacing w:w="15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2"/>
              <w:gridCol w:w="201"/>
            </w:tblGrid>
            <w:tr w:rsidR="001D1E34" w:rsidRPr="001744DE" w14:paraId="3FC22989" w14:textId="77777777" w:rsidTr="00587D3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14:paraId="15AC529C" w14:textId="0CEBC7E1" w:rsidR="001D1E34" w:rsidRPr="001744DE" w:rsidRDefault="00D4233E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 xml:space="preserve">Engleski: </w:t>
                  </w:r>
                  <w:r w:rsidR="001D1E34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Institute for Development and International Relations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14:paraId="0EE9F0A9" w14:textId="6E6CB099" w:rsidR="001D1E34" w:rsidRPr="001744DE" w:rsidRDefault="001D1E3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</w:p>
              </w:tc>
            </w:tr>
          </w:tbl>
          <w:p w14:paraId="16C031B5" w14:textId="77777777" w:rsidR="001D1E34" w:rsidRPr="001744DE" w:rsidRDefault="001D1E34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tbl>
            <w:tblPr>
              <w:tblW w:w="0" w:type="auto"/>
              <w:tblCellSpacing w:w="15" w:type="dxa"/>
              <w:tblInd w:w="15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"/>
            </w:tblGrid>
            <w:tr w:rsidR="001D1E34" w:rsidRPr="001744DE" w14:paraId="3293C1DD" w14:textId="77777777" w:rsidTr="001D1E3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663FA46C" w14:textId="62C95147" w:rsidR="001D1E34" w:rsidRPr="00BA23FA" w:rsidRDefault="00D4233E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Skraćeni naziv:</w:t>
                  </w:r>
                  <w:r w:rsidR="002D612B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 xml:space="preserve"> </w:t>
                  </w:r>
                  <w:r w:rsidR="001D1E34"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IRMO</w:t>
                  </w:r>
                </w:p>
              </w:tc>
            </w:tr>
          </w:tbl>
          <w:p w14:paraId="70536730" w14:textId="77777777" w:rsidR="001D1E34" w:rsidRPr="00BA23FA" w:rsidRDefault="001D1E3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5BC15297" w14:textId="604381F7" w:rsidR="001C7304" w:rsidRPr="00BA23FA" w:rsidRDefault="004B258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Institut za razvoj i međunarodne odnose je osnovan 21. svibnja 1963. godine kao Institut za proučavanje Afrike odlukom Sveučilišnog savjeta u Zagrebu u zajednici s Privrednom komorom Hrvatske. Pomicanje istraživačkog fokusa 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na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zemlje u razvoju Azije i Latinske Amerike i na globalne razvojne procese Instituta odrazilo se 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 promjene programa i imena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pa tako 1971. godine 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postaje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Institut za zemlje u razvoju, 1989. mijenja ime u Institut za razvoj i međunarodne odnose; 1996. godine u Institut za međunarodne odnose, da bi se 2013. godine vratio naslovu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Institut za razvoj i međunarodne odnose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37F4E837" w14:textId="5CF9F357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Registriran u sudskom registru Trgovačkog suda u Zagrebu</w:t>
            </w:r>
          </w:p>
          <w:p w14:paraId="42CFB3CF" w14:textId="3531DC39" w:rsidR="00EF24A1" w:rsidRPr="001744DE" w:rsidRDefault="00EF24A1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MBS: 080164610</w:t>
            </w:r>
          </w:p>
          <w:p w14:paraId="6F623032" w14:textId="3DDB90A5" w:rsidR="00CE2254" w:rsidRPr="00BA23FA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Pravni oblik: ustanova</w:t>
            </w:r>
          </w:p>
          <w:p w14:paraId="2B48DDDD" w14:textId="60E8FB75" w:rsidR="00CE2254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Osnovne d</w:t>
            </w:r>
            <w:r w:rsidR="00CE225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jelatnost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  <w:r w:rsidR="00CE225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:</w:t>
            </w:r>
          </w:p>
          <w:tbl>
            <w:tblPr>
              <w:tblW w:w="0" w:type="auto"/>
              <w:tblCellSpacing w:w="15" w:type="dxa"/>
              <w:tblInd w:w="150" w:type="dxa"/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265"/>
            </w:tblGrid>
            <w:tr w:rsidR="00CE2254" w:rsidRPr="001744DE" w14:paraId="501A17C1" w14:textId="77777777" w:rsidTr="00CE225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10942D2D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1F95C7AE" w14:textId="460C270C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davanje znanstvenoistraživačke podloge za djelovanje Ministarstva vanjskih poslova i Hrvatske gospodarske komore, te drugih državnih tijela i ustanova</w:t>
                  </w:r>
                </w:p>
              </w:tc>
            </w:tr>
            <w:tr w:rsidR="00CE2254" w:rsidRPr="001744DE" w14:paraId="23B67477" w14:textId="77777777" w:rsidTr="00CE225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140E3423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7FF2E134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izrada prostorno planske i razvojne dokumentacije</w:t>
                  </w:r>
                </w:p>
              </w:tc>
            </w:tr>
            <w:tr w:rsidR="00CE2254" w:rsidRPr="001744DE" w14:paraId="7D04F8D5" w14:textId="77777777" w:rsidTr="00CE2254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299EB45A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4879A03C" w14:textId="77777777" w:rsidR="00CE2254" w:rsidRPr="00BA23FA" w:rsidRDefault="00CE2254" w:rsidP="00FD15A2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</w:pPr>
                  <w:r w:rsidRPr="00BA23FA">
                    <w:rPr>
                      <w:rFonts w:ascii="Calibri" w:hAnsi="Calibri" w:cs="Calibri"/>
                      <w:color w:val="000000"/>
                      <w:sz w:val="18"/>
                      <w:szCs w:val="20"/>
                    </w:rPr>
                    <w:t>znanstvena i razvojna istraživanja, objavljivanje rezultata tih istraživanja, znanstveno osposobljavanje i obrazovanje odraslih, održavanje i razvijanje znanstvenoistraživačke infrastrukture (prema Zakonu o znanstvenoistraživačkoj djelatnosti)</w:t>
                  </w:r>
                </w:p>
              </w:tc>
            </w:tr>
          </w:tbl>
          <w:p w14:paraId="1BE77EFE" w14:textId="322B3F36" w:rsidR="00CE2254" w:rsidRPr="00BA23FA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Osnivač: Vlada Republike Hrvatske</w:t>
            </w:r>
          </w:p>
          <w:p w14:paraId="1EBC3EA2" w14:textId="5B42DBFD" w:rsidR="00CE2254" w:rsidRPr="001744DE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OIB: 31120185175</w:t>
            </w:r>
          </w:p>
          <w:p w14:paraId="2EFE5094" w14:textId="1E721BA2" w:rsidR="00CE2254" w:rsidRPr="00BA23FA" w:rsidRDefault="00CE225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Institut je u sistemu PDV</w:t>
            </w:r>
            <w:r w:rsidR="001252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 za dio prihoda od tržišnih djelatnosti </w:t>
            </w:r>
          </w:p>
          <w:p w14:paraId="05A22CEE" w14:textId="1B0EFBF1" w:rsidR="00CE2254" w:rsidRPr="001744DE" w:rsidRDefault="003A3F55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PDV 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b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roj</w:t>
            </w:r>
            <w:r w:rsidR="0061418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: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HR31120185175</w:t>
            </w:r>
          </w:p>
          <w:p w14:paraId="747DA686" w14:textId="5DE10A4B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Odgovorna osoba za ustanovu:</w:t>
            </w:r>
          </w:p>
          <w:p w14:paraId="5EC7FBCF" w14:textId="1F56BEC3" w:rsidR="001D1E34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</w:t>
            </w:r>
            <w:r w:rsidR="001D1E3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avnateljica</w:t>
            </w:r>
          </w:p>
          <w:p w14:paraId="71648592" w14:textId="378A094A" w:rsidR="001D1E34" w:rsidRPr="00BA23FA" w:rsidRDefault="001D1E3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dr.sc. Sanja Tišma</w:t>
            </w:r>
          </w:p>
          <w:p w14:paraId="2F89AC12" w14:textId="1D54B5B7" w:rsidR="001D1E34" w:rsidRPr="00BA23FA" w:rsidRDefault="001D1E34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Zastupa ustanovu pojedinačno i samostalno</w:t>
            </w:r>
          </w:p>
          <w:p w14:paraId="55CBF87C" w14:textId="3F26C7A0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Odgovorna osoba za računovodstvo:</w:t>
            </w:r>
          </w:p>
          <w:p w14:paraId="4DC5287B" w14:textId="5A097F2B" w:rsidR="00C64891" w:rsidRPr="00BA23FA" w:rsidRDefault="00C64891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voditeljica računovodstva</w:t>
            </w:r>
          </w:p>
          <w:p w14:paraId="7C511709" w14:textId="1396E6CC" w:rsidR="00D4233E" w:rsidRPr="00BA23FA" w:rsidRDefault="00D4233E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Milva Pavičin-Karamatić,</w:t>
            </w:r>
            <w:r w:rsidR="002D4CDF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dipl</w:t>
            </w:r>
            <w:r w:rsidR="002D61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oec</w:t>
            </w:r>
            <w:r w:rsidR="002D61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0AD63EA1" w14:textId="77777777" w:rsidR="00184D8B" w:rsidRPr="00BA23FA" w:rsidRDefault="00184D8B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50A663F" w14:textId="4E9FFD18" w:rsidR="00830A8C" w:rsidRPr="00BA23FA" w:rsidRDefault="00830A8C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Institut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je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uzeo u zakup drugi kat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zgra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 Hrvatskog šumarskog društva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 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ulici LJ</w:t>
            </w:r>
            <w:r w:rsidR="00C6489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Farkaša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Vukotinović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2D61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2/II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Zgrada je oštećena u zagrebačkom i u petrinjskom potresu 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te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obnovljena </w:t>
            </w:r>
            <w:r w:rsidR="0080632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sredstvima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zakupodavca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 Za vrijeme sanacije se zgrada nije koristila niti se najamnina naplaćivala.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Tako se nastavilo sve do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žujka 2021</w:t>
            </w:r>
            <w:r w:rsidR="00EB105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 godine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kada je sanacija završena</w:t>
            </w:r>
            <w:r w:rsidR="0080632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nstitut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je dodatno investirao 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unutrašnje uređenje zakupljenog prostora, </w:t>
            </w:r>
            <w:r w:rsidR="008D1900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novu nabavu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namještaj</w:t>
            </w:r>
            <w:r w:rsidR="008D1900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oprem</w:t>
            </w:r>
            <w:r w:rsidR="008D1900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e jer je 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dugotrajna imovina stradala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 </w:t>
            </w:r>
            <w:r w:rsidR="0080632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potresu </w:t>
            </w:r>
            <w:r w:rsidR="00475832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odvezena na glomazni otpad.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T</w:t>
            </w:r>
            <w:r w:rsidR="007F2C4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ije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kom 2020. godine se z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bog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sanacije zgrade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 xml:space="preserve">od </w:t>
            </w:r>
            <w:r w:rsidR="00184D8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posljedice potresa i pandemije koronavirusa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se radilo u otežanim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</w:t>
            </w:r>
            <w:r w:rsidR="001252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vjeti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ma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radi čega se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posao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se organizirao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B4094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po modelu 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rad od kuće za sve poslove za koje je to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bilo</w:t>
            </w:r>
            <w:r w:rsidR="00FA437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moguće. 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Iako je zgrada obnovljena 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do ožujka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2021. godin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dalje 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se </w:t>
            </w:r>
            <w:r w:rsidR="008401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koristi opcija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rad</w:t>
            </w:r>
            <w:r w:rsidR="008401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75000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kuće zbog pandemije koronavirusa.</w:t>
            </w:r>
            <w:r w:rsidR="00DD27B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ali i uštede na troškovima grijanja i hlađenja  u zimskim i ljetnim mjesecima.</w:t>
            </w:r>
          </w:p>
          <w:p w14:paraId="772452A7" w14:textId="77777777" w:rsidR="002D4CDF" w:rsidRPr="001744DE" w:rsidRDefault="002D4CDF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516C39D" w14:textId="255B0EE4" w:rsidR="002D4CDF" w:rsidRPr="00BA23FA" w:rsidRDefault="002D4CDF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315704CA" w14:textId="77CF7502" w:rsidR="002D4CDF" w:rsidRPr="001744DE" w:rsidRDefault="00C93C6D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Bilješke uz obrazac BIL</w:t>
            </w:r>
          </w:p>
          <w:p w14:paraId="2536C577" w14:textId="41422180" w:rsidR="00C93C6D" w:rsidRPr="00BA23FA" w:rsidRDefault="00C93C6D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210BF8FA" w14:textId="5E2D637D" w:rsidR="00C93C6D" w:rsidRPr="00BA23FA" w:rsidRDefault="00D94C0F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B001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Ukupna imovina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 31.12.202</w:t>
            </w:r>
            <w:r w:rsidR="00C40848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  <w:r w:rsidR="00F8272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godine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iznosi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5.111.734,81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kn 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što je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pad od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7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  <w:r w:rsidR="00F70B7A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% u odnosu na prošlu godinu. 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Ukupna imovina je jednaka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šifri B003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bvez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vlastiti izvor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i.</w:t>
            </w:r>
          </w:p>
          <w:p w14:paraId="1AE5F5E4" w14:textId="46482F88" w:rsidR="00C93C6D" w:rsidRPr="00BA23FA" w:rsidRDefault="00280AF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0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4574E8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Nefinancijska imovine je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pala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4,9%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 odnosu na prošlu godinu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jer smo većinu potrebne opreme i namještaja nabavili u 2021. godini a otpisali smo još zastarjele i oštećene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opreme i namještaja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9A540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uglavnom računala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, </w:t>
            </w:r>
            <w:r w:rsidR="009A540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ostale računalne 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opreme i namještaja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34FF7619" w14:textId="0337B284" w:rsidR="00E4652B" w:rsidRPr="00BA23FA" w:rsidRDefault="00280AF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1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Financijska imovina bilježi pad od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7,8%</w:t>
            </w:r>
            <w:r w:rsidR="00A61829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zbog smanjih primitaka na šifri 111 Novac u banci i blagajni od 12,2% kao rezultat povećanih rashoda kod provođenja aktivnosti EU projekata za koje smo primili predujmove u prethodn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im</w:t>
            </w:r>
            <w:r w:rsidR="00D85C96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godinama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. Nove EU projekte smo dobili pred kraj godine pa </w:t>
            </w:r>
            <w:r w:rsidR="004E7A9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se prihodi očekuju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 2023. godini.</w:t>
            </w:r>
          </w:p>
          <w:p w14:paraId="0AC82E46" w14:textId="205FBE66" w:rsidR="002B5075" w:rsidRPr="00BA23FA" w:rsidRDefault="002B5075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129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se sastoji od Potraživanja za naknade koje se refundiraju HZZO u iznosu od 9.967,78</w:t>
            </w:r>
            <w:r w:rsidR="000D673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kn i avansa po ugovoru za suizdavaštvo knjige,</w:t>
            </w:r>
            <w:r w:rsidR="003623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naslova „Žene u diplomaciji RH“</w:t>
            </w:r>
            <w:r w:rsidR="008071E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izdavač Novi redaj j</w:t>
            </w:r>
            <w:r w:rsidR="00BF0EA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d</w:t>
            </w:r>
            <w:r w:rsidR="00BF0EA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o. </w:t>
            </w:r>
          </w:p>
          <w:p w14:paraId="635E8677" w14:textId="0B4E8EBA" w:rsidR="004B50D3" w:rsidRPr="001744DE" w:rsidRDefault="004B50D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Šifra 191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Rashodi budućih razdoblja se odnose na račune preplat</w:t>
            </w:r>
            <w:r w:rsidR="002B50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članarina za 2023. godinu</w:t>
            </w:r>
            <w:r w:rsidR="00BF0EA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D539F43" w14:textId="0F6A7C85" w:rsidR="00E4652B" w:rsidRPr="00BA23FA" w:rsidRDefault="00280AF3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193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Kontinuirani rashodi budućih razdoblja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uključuju</w:t>
            </w:r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obvez</w:t>
            </w:r>
            <w:r w:rsidR="00020A1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u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 plaće za prosinac 202</w:t>
            </w:r>
            <w:r w:rsidR="002B50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 godine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 bilježe porast od 11,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4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% zbog povećanja osnovice za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obračun plaće </w:t>
            </w:r>
            <w:r w:rsidR="002B50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od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listopad</w:t>
            </w:r>
            <w:r w:rsidR="002B50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6%</w:t>
            </w:r>
            <w:r w:rsidR="002B5075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21788E61" w14:textId="332F62A8" w:rsidR="00C93C6D" w:rsidRPr="00BA23FA" w:rsidRDefault="00ED4CF1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Šifra </w:t>
            </w:r>
            <w:r w:rsidR="004B50D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B003</w:t>
            </w:r>
            <w:r w:rsidR="00020A1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4652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Obvez</w:t>
            </w:r>
            <w:r w:rsidR="004B50D3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 i vlastiti izvori također bilježe pad od 7,5% u odnosu na prošlu godinu</w:t>
            </w:r>
            <w:r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kao kombinacija smanjenja obveza (Šifra 2) koje su većinom podmirena u ovoj godini i smanjenja Vlastitih izvora (šifra 9) zbog ostvarenog manjka za  ovu poslovnu godinu.</w:t>
            </w:r>
          </w:p>
          <w:p w14:paraId="7D358B8A" w14:textId="0BEB91CB" w:rsidR="00547A94" w:rsidRPr="00BA23FA" w:rsidRDefault="00ED4CF1" w:rsidP="00FD15A2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9222</w:t>
            </w:r>
            <w:r w:rsidR="00547A9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Manjak od nefinanci</w:t>
            </w:r>
            <w:r w:rsidR="00660DDE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j</w:t>
            </w:r>
            <w:r w:rsidR="00547A94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ske</w:t>
            </w:r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nakon obvezne korekcije po članku 82</w:t>
            </w:r>
            <w:r w:rsidR="00E27CC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Pravilnika o proračunskom računovodstvu i računskom planu, bilježi rast radi novonabavljene imovine koja je 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dijelom </w:t>
            </w:r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financirana iz vlastitih izvora. Navedeni manjak će se pokriti iz viška u sljedećoj poslovnoj godini po donošenju odluke o raspodjeli rezultata.</w:t>
            </w:r>
          </w:p>
          <w:p w14:paraId="52D68851" w14:textId="698108A5" w:rsidR="00EF19E9" w:rsidRPr="00BA23FA" w:rsidRDefault="00344794" w:rsidP="00443DF0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996</w:t>
            </w:r>
            <w:r w:rsidR="0091584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Izvanbilančni zapisi 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sadrže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primljen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dan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instrument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="000D40D1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osiguranja plaćanja</w:t>
            </w:r>
            <w:r w:rsidR="00587D37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po ugovornim odnosima</w:t>
            </w:r>
            <w:r w:rsidR="006F5A6B" w:rsidRPr="00BA23FA">
              <w:rPr>
                <w:rFonts w:ascii="Calibri" w:hAnsi="Calibri" w:cs="Calibri"/>
                <w:color w:val="000000"/>
                <w:sz w:val="18"/>
                <w:szCs w:val="20"/>
              </w:rPr>
              <w:t>-bjanko zadužnice.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86E8F" w14:textId="77777777" w:rsidR="00F0681D" w:rsidRPr="001744DE" w:rsidRDefault="00F0681D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62358" w14:textId="77777777" w:rsidR="00F0681D" w:rsidRPr="001744DE" w:rsidRDefault="00F0681D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304E6C" w:rsidRPr="001744DE" w14:paraId="5D294A9E" w14:textId="77777777" w:rsidTr="005076F5">
        <w:trPr>
          <w:trHeight w:val="315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9106" w14:textId="43F610FA" w:rsidR="00807752" w:rsidRPr="001744DE" w:rsidRDefault="00807752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51F62ED2" w14:textId="77777777" w:rsidR="00C64891" w:rsidRPr="001744DE" w:rsidRDefault="00C64891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7FE1678C" w14:textId="6966A5DC" w:rsidR="00587D37" w:rsidRPr="001744DE" w:rsidRDefault="00304E6C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</w:t>
            </w:r>
            <w:r w:rsidR="0091584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uz obrazac PR-RAS</w:t>
            </w:r>
          </w:p>
          <w:p w14:paraId="21F5DC04" w14:textId="77777777" w:rsidR="00013386" w:rsidRPr="001744DE" w:rsidRDefault="00013386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4CEF5468" w14:textId="3AD10609" w:rsidR="00587D37" w:rsidRPr="001744DE" w:rsidRDefault="00587D37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E7B6" w14:textId="77777777" w:rsidR="00304E6C" w:rsidRPr="001744DE" w:rsidRDefault="00304E6C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0FE" w14:textId="77777777" w:rsidR="00304E6C" w:rsidRPr="001744DE" w:rsidRDefault="00304E6C" w:rsidP="001744DE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7319" w14:textId="77777777" w:rsidR="00304E6C" w:rsidRPr="001744DE" w:rsidRDefault="00304E6C" w:rsidP="00FD15A2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59E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894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88DD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304E6C" w:rsidRPr="001744DE" w14:paraId="531ACD0B" w14:textId="77777777" w:rsidTr="005076F5">
        <w:trPr>
          <w:trHeight w:val="315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B2AF" w14:textId="30B05B12" w:rsidR="00277C43" w:rsidRPr="001744DE" w:rsidRDefault="00277C43" w:rsidP="00277C43">
            <w:pPr>
              <w:tabs>
                <w:tab w:val="left" w:pos="2977"/>
                <w:tab w:val="left" w:pos="3616"/>
                <w:tab w:val="left" w:pos="3932"/>
              </w:tabs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6</w:t>
            </w:r>
            <w:r w:rsidR="009A540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Prihodi poslovanja iznose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13.894.676,17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kn te su za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10,8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%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manji</w:t>
            </w:r>
            <w:r w:rsidR="00304E6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ostvarenih prihoda</w:t>
            </w:r>
            <w:r w:rsidR="00524D5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prošle godine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je</w:t>
            </w:r>
            <w:r w:rsidR="0008480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r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smo u ovoj godini provodili aktivnosti preuzete po ugovorenim EU projektima proš</w:t>
            </w:r>
            <w:r w:rsidR="000D673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l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  <w:r w:rsidR="0008480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h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08480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godina (šifra 632) z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 koje smo </w:t>
            </w:r>
            <w:r w:rsidR="0008480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 predujmove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primili </w:t>
            </w:r>
            <w:r w:rsidR="0008480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 p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rethodnim godinama. Nove EU projekte smo dobili pred kraj godine pa se prihodi očekuju u 2023. godini.</w:t>
            </w:r>
          </w:p>
          <w:p w14:paraId="1AD3C583" w14:textId="329E3D54" w:rsidR="0008480B" w:rsidRPr="001744DE" w:rsidRDefault="0008480B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šifra 6391 Tekući prijenosi između proračunskih korisnika istog proračuna bilježi porast zbog novog projekta ugovorenog s HRZZ </w:t>
            </w:r>
            <w:r w:rsidR="00BF0EA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-</w:t>
            </w:r>
            <w:r w:rsidR="008071E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projekt </w:t>
            </w:r>
            <w:r w:rsidR="00BF0EA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ENDURE-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TAP</w:t>
            </w:r>
          </w:p>
          <w:p w14:paraId="69D6F1F9" w14:textId="06C48277" w:rsidR="00304E6C" w:rsidRPr="001744DE" w:rsidRDefault="0008480B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Šifra 6615 Prihodi od pruženih usluga su prihodi od tržišnih projekta na temelju prijava na natječaje javne nabave također bilježe pad </w:t>
            </w:r>
            <w:r w:rsidR="0034479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od 23,9%.</w:t>
            </w:r>
          </w:p>
          <w:p w14:paraId="51DD0554" w14:textId="4F977482" w:rsidR="002170BF" w:rsidRPr="001744DE" w:rsidRDefault="00344794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663</w:t>
            </w:r>
            <w:r w:rsidR="00CE60A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Tekuće donacije </w:t>
            </w:r>
            <w:r w:rsidR="002170BF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bilježe </w:t>
            </w:r>
            <w:r w:rsidR="00CE60A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rast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2170BF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kao </w:t>
            </w:r>
            <w:r w:rsidR="00CE60A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rezultat </w:t>
            </w:r>
            <w:r w:rsidR="002170BF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realiziranih </w:t>
            </w:r>
            <w:r w:rsidR="00CE60A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prihoda po projektima</w:t>
            </w:r>
            <w:r w:rsidR="002170BF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ugovorenim krajem 2020. godine:</w:t>
            </w:r>
          </w:p>
          <w:p w14:paraId="1D0FE62E" w14:textId="725E8B54" w:rsidR="00CE60A2" w:rsidRPr="001744DE" w:rsidRDefault="002170BF" w:rsidP="00FD15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</w:pPr>
            <w:r w:rsidRPr="001744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  <w:t xml:space="preserve">Medijsko obrazovanje je važno, sredstva ESF, koordinator </w:t>
            </w:r>
            <w:r w:rsidR="00CE60A2" w:rsidRPr="001744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  <w:t>GONG</w:t>
            </w:r>
          </w:p>
          <w:p w14:paraId="3A911380" w14:textId="1481BADD" w:rsidR="002170BF" w:rsidRPr="001744DE" w:rsidRDefault="002170BF" w:rsidP="00FD15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</w:pPr>
            <w:r w:rsidRPr="001744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  <w:t>Dijalogom do hrvatske mreže za društveno poduzetništvo, sredstva ESF preko CERURA</w:t>
            </w:r>
          </w:p>
          <w:p w14:paraId="4FEA713F" w14:textId="0D4D0D91" w:rsidR="002B5075" w:rsidRPr="001744DE" w:rsidRDefault="008071E5" w:rsidP="00FD15A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</w:pPr>
            <w:r w:rsidRPr="001744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  <w:t>„Nova javna ku</w:t>
            </w:r>
            <w:r w:rsidR="004F6EF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  <w:t>l</w:t>
            </w:r>
            <w:r w:rsidRPr="001744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  <w:t xml:space="preserve">tura i prostori društvenosti“, nositelj projekta </w:t>
            </w:r>
            <w:r w:rsidR="002B5075" w:rsidRPr="001744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hr-HR"/>
              </w:rPr>
              <w:t>Savez udruga Klubtura</w:t>
            </w:r>
          </w:p>
          <w:p w14:paraId="1E9DFFF8" w14:textId="21F19659" w:rsidR="00344794" w:rsidRPr="001744DE" w:rsidRDefault="00344794" w:rsidP="00344794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67 Prihodi iz nadležnog proračuna i od HZZO-a na temelju ugovornih obveza bilježe rast od 5,9% kao rezultat povećanja obračunske osnovice plaće od 01.listopada. za 6%.</w:t>
            </w:r>
          </w:p>
          <w:p w14:paraId="1DCE07B1" w14:textId="77777777" w:rsidR="0090137A" w:rsidRPr="001744DE" w:rsidRDefault="00344794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 Rashodi poslovanja su na približno istoj razini kao i prošle godine.</w:t>
            </w:r>
            <w:r w:rsidR="00CE60A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0C0AB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Što je prebijeni rezultat </w:t>
            </w:r>
            <w:r w:rsidR="0090137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porasta određenih troškova te pada drugih troškovnih kategorija.</w:t>
            </w:r>
            <w:bookmarkStart w:id="0" w:name="_GoBack"/>
            <w:bookmarkEnd w:id="0"/>
          </w:p>
          <w:p w14:paraId="38E04641" w14:textId="26B31205" w:rsidR="00344794" w:rsidRPr="001744DE" w:rsidRDefault="0090137A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N</w:t>
            </w:r>
            <w:r w:rsidR="000C0AB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ajveći rast ostvarili </w:t>
            </w:r>
            <w:r w:rsidR="0034479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:</w:t>
            </w:r>
          </w:p>
          <w:p w14:paraId="3578001D" w14:textId="52A2E6BD" w:rsidR="00344794" w:rsidRPr="001744DE" w:rsidRDefault="00344794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3211 Službena putovanja</w:t>
            </w:r>
            <w:r w:rsidR="000C0AB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132,2%</w:t>
            </w:r>
          </w:p>
          <w:p w14:paraId="74E6E42D" w14:textId="5234099A" w:rsidR="00344794" w:rsidRPr="001744DE" w:rsidRDefault="00344794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3212</w:t>
            </w:r>
            <w:r w:rsidR="000C0AB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Naknada za prijevoz  61,7%</w:t>
            </w:r>
          </w:p>
          <w:p w14:paraId="7B13B7A7" w14:textId="43910B31" w:rsidR="00344794" w:rsidRPr="001744DE" w:rsidRDefault="00344794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3213</w:t>
            </w:r>
            <w:r w:rsidR="000C0AB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Stručna usavršavanja 191,5%</w:t>
            </w:r>
          </w:p>
          <w:p w14:paraId="0DD75080" w14:textId="77777777" w:rsidR="0090137A" w:rsidRPr="001744DE" w:rsidRDefault="0090137A" w:rsidP="0090137A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3221 Uredski materijal 41%</w:t>
            </w:r>
          </w:p>
          <w:p w14:paraId="64C45977" w14:textId="7835DA04" w:rsidR="0090137A" w:rsidRPr="001744DE" w:rsidRDefault="0090137A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3223 Energija 39,7%</w:t>
            </w:r>
          </w:p>
          <w:p w14:paraId="680CE39B" w14:textId="601E364F" w:rsidR="000C0AB5" w:rsidRPr="001744DE" w:rsidRDefault="000C0AB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Šifra 324 Naknade troškova osobama izvan radnog odnosa </w:t>
            </w:r>
          </w:p>
          <w:p w14:paraId="2A33D4EC" w14:textId="04A000C1" w:rsidR="000C0AB5" w:rsidRPr="001744DE" w:rsidRDefault="000C0AB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kao rezultat usporavanja epidemije koronavirusa 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što za posl</w:t>
            </w:r>
            <w:r w:rsidR="00F0174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j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edicu ima</w:t>
            </w:r>
            <w:r w:rsidR="00200D3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lo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ukidanje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ograničenja u putovanjima</w:t>
            </w:r>
            <w:r w:rsidR="0069424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zaposlenika i vanjskih suradnika</w:t>
            </w:r>
            <w:r w:rsidR="0090137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ali i utjecaj rata u Ukraj</w:t>
            </w:r>
            <w:r w:rsidR="00F0174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  <w:r w:rsidR="0090137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ni na porast cijena troškova uslijed rasta cijena energije.</w:t>
            </w:r>
          </w:p>
          <w:p w14:paraId="0D56966A" w14:textId="4F3BFFD1" w:rsidR="00CE60A2" w:rsidRPr="001744DE" w:rsidRDefault="0090137A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Pad bilježe rashodi za usluge 323</w:t>
            </w:r>
            <w:r w:rsidR="00AE7E30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 to Usluge tek i investicijskog održavanja, </w:t>
            </w:r>
            <w:r w:rsidR="0069424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usluge promidžbe i informiranja</w:t>
            </w:r>
            <w:r w:rsidR="00AE7E30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200D3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694244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intelektualne usluge </w:t>
            </w:r>
            <w:r w:rsidR="00AE7E30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računalne usluge i ostale usluge.</w:t>
            </w:r>
          </w:p>
          <w:p w14:paraId="45A34A2E" w14:textId="09498EE2" w:rsidR="00B21CC3" w:rsidRPr="001744DE" w:rsidRDefault="00AE7E30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Šifra </w:t>
            </w:r>
            <w:r w:rsidR="00276A1E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3235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Zakupnine i najamnine bilježe porast u odnosu na prošlu godinu jer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su 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nakon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renovacije zgrade, radnici plinare pogrešno prespojili brojila za plin. Svi računi za plin koji su trošak IRMO</w:t>
            </w:r>
            <w:r w:rsidR="00F0174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_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a su glasili na zakupodavca. Zakupodavac je IRMO_u refakturirao trošak plina temeljem tako izdanih računa. Tako refakturirane račune smo knjižili kao trošak najamnine  a ne kao trošak energije</w:t>
            </w:r>
            <w:r w:rsidR="00200D3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6E533B44" w14:textId="1796DD17" w:rsidR="00B21CC3" w:rsidRPr="001744DE" w:rsidRDefault="00276A1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3239</w:t>
            </w:r>
            <w:r w:rsidR="00D811F0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Ostale usluge sadrže rashode za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: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2A24C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G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rafičke </w:t>
            </w:r>
            <w:r w:rsidR="002A24C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i tiskarske usluge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54.85</w:t>
            </w:r>
            <w:r w:rsidR="008071E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kn </w:t>
            </w:r>
            <w:r w:rsidR="00B21CC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usluge</w:t>
            </w:r>
            <w:r w:rsidR="002A24C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, 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uređenje poslovnog prostora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7.500</w:t>
            </w:r>
            <w:r w:rsidR="00AB0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kn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43515E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2A24C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usluge čišćenja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17.397</w:t>
            </w:r>
            <w:r w:rsidR="00D811F0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kn, troškovi zašite na radu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13.725</w:t>
            </w:r>
            <w:r w:rsidR="0061418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BA60C6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kn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 usluge Fine -statistika 1</w:t>
            </w:r>
            <w:r w:rsidR="008071E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200.</w:t>
            </w:r>
          </w:p>
          <w:p w14:paraId="4D17BE10" w14:textId="06B0AF36" w:rsidR="00276A1E" w:rsidRPr="001744DE" w:rsidRDefault="00276A1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34 Financijski rashodi biljež</w:t>
            </w:r>
            <w:r w:rsidR="00426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e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426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zbog povećanja bankovnih transakcija kod realizacije projekata.</w:t>
            </w:r>
          </w:p>
          <w:p w14:paraId="4602F7A7" w14:textId="29018D2B" w:rsidR="00F66AF5" w:rsidRPr="001744DE" w:rsidRDefault="00276A1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lastRenderedPageBreak/>
              <w:t>Šifra Y001 Manjak od poslovanja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172E6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stvaren je manjak poslovanja </w:t>
            </w:r>
            <w:r w:rsidR="00172E6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u iznosu od 213,142,97 kn jer su troškovi ostali na istoj razini kao i prošle godine a ostvareni su manji prihodi</w:t>
            </w:r>
          </w:p>
          <w:p w14:paraId="675BC5B1" w14:textId="40634423" w:rsidR="00F66AF5" w:rsidRPr="001744DE" w:rsidRDefault="00172E6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4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Rashodi za nabavu nefinancijske imovine bilježe p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ad 62,3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%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jer smo prošle godine obnovili uništenu opremu i namještaj pa ove godine nije bil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većih potreba</w:t>
            </w:r>
            <w:r w:rsidR="00AB0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AB0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F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inancirano sredstvima programskog ugovora</w:t>
            </w:r>
            <w:r w:rsidR="002D612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,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AB0A1C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a dijelom 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vlastitim sredstvima.</w:t>
            </w:r>
          </w:p>
          <w:p w14:paraId="53DFCAD6" w14:textId="2122E420" w:rsidR="00172E65" w:rsidRPr="001744DE" w:rsidRDefault="00172E65" w:rsidP="00172E65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Y002 Manjak od nefinancijske imovine -također je ostvaren manjak od 157.334,50</w:t>
            </w:r>
            <w:r w:rsidR="00BF0EA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kn</w:t>
            </w:r>
            <w:r w:rsidR="00BF0EA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38DC48D1" w14:textId="25108F7F" w:rsidR="00F66AF5" w:rsidRPr="001744DE" w:rsidRDefault="00172E6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X006</w:t>
            </w:r>
            <w:r w:rsidR="00F66AF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Višak prihoda i primitaka raspoloživ u sljedećem razdoblju bilježi pad od 9,9% zbog ostvarenog </w:t>
            </w:r>
            <w:r w:rsidR="002B507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ukupnog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manjka što je rezultiralo korištenjem prenesenog viška za pokriće </w:t>
            </w:r>
            <w:r w:rsidR="002B5075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tog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manjka.</w:t>
            </w:r>
          </w:p>
          <w:p w14:paraId="4B79957B" w14:textId="3D12A664" w:rsidR="00F66AF5" w:rsidRPr="001744DE" w:rsidRDefault="00F66AF5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F86291E" w14:textId="27BB2698" w:rsidR="00155E5D" w:rsidRPr="001744DE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Bilješke uz obrazac Obveze</w:t>
            </w:r>
          </w:p>
          <w:p w14:paraId="459566DE" w14:textId="2989D9BA" w:rsidR="00F14D29" w:rsidRPr="001744DE" w:rsidRDefault="00924461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Šifra V006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Stanje obveza na 31.12.202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iznosi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976.062,27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kn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od toga se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737.047,17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kn </w:t>
            </w:r>
            <w:r w:rsidR="00F14D29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odnosi na obveze za zaposlene za plaću koja se podmiruju iz proračuna. </w:t>
            </w:r>
          </w:p>
          <w:p w14:paraId="5ACA5646" w14:textId="40E304C4" w:rsidR="00F14D29" w:rsidRPr="001744DE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Obveze prema dobavljačima iznose </w:t>
            </w:r>
            <w:r w:rsidR="00BB030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182.037,17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kn i podmiruju se prema valuti dospijeća. </w:t>
            </w:r>
          </w:p>
          <w:p w14:paraId="1751F558" w14:textId="763334D7" w:rsidR="00924461" w:rsidRPr="001744DE" w:rsidRDefault="00924461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Obveze za povrat u proračun 9.967,78</w:t>
            </w:r>
            <w:r w:rsidR="00BF0EA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kn (HZZO)</w:t>
            </w:r>
            <w:r w:rsidR="004574E8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68CFD837" w14:textId="2DE37CAE" w:rsidR="00F14D29" w:rsidRPr="001744DE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Obveze za obračunati PDV iznose 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47.010,15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kn</w:t>
            </w:r>
            <w:r w:rsidR="0080775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2F204846" w14:textId="365DF51B" w:rsidR="00F14D29" w:rsidRPr="001744DE" w:rsidRDefault="00F14D29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Nema dospjelih obveza a sve nedospjele obveze će biti podmirene u siječnju 202</w:t>
            </w:r>
            <w:r w:rsidR="00924461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 godine</w:t>
            </w:r>
            <w:r w:rsidR="00807752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D90CB99" w14:textId="46DF8EAA" w:rsidR="00BF0EA3" w:rsidRPr="001744DE" w:rsidRDefault="00BF0EA3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970E0AF" w14:textId="2C359D1B" w:rsidR="00BF0EA3" w:rsidRPr="001744DE" w:rsidRDefault="00BF0EA3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Bilješke uz  obrazac P-VRIO</w:t>
            </w:r>
          </w:p>
          <w:p w14:paraId="1FD8ECA0" w14:textId="5FFA8B77" w:rsidR="00BF0EA3" w:rsidRPr="001744DE" w:rsidRDefault="00BF0EA3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29C5502A" w14:textId="0B97D4ED" w:rsidR="00BF0EA3" w:rsidRPr="001744DE" w:rsidRDefault="00BF0EA3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Šifra 9151 Promjene u vrijednosti i obujmu imovine- bilježi se povećanje obujma imovine za donaciju računala od </w:t>
            </w:r>
            <w:r w:rsidR="00200D3B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proračunskog korisnika 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CARNETa na iznos od 8884,27 kn.</w:t>
            </w:r>
          </w:p>
          <w:p w14:paraId="1FE086B0" w14:textId="77777777" w:rsidR="00BF0EA3" w:rsidRPr="001744DE" w:rsidRDefault="00BF0EA3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65CBD39" w14:textId="1F1FE7F4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26124931" w14:textId="5EE31211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U Zagrebu, </w:t>
            </w:r>
            <w:r w:rsidR="00BB030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30</w:t>
            </w: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.01.202</w:t>
            </w:r>
            <w:r w:rsidR="00BB0303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  <w:r w:rsidR="00E27CC7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  <w:r w:rsidR="004574E8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godine</w:t>
            </w:r>
            <w:r w:rsidR="00BA23FA" w:rsidRPr="001744DE">
              <w:rPr>
                <w:rFonts w:ascii="Calibri" w:hAnsi="Calibri" w:cs="Calibri"/>
                <w:color w:val="000000"/>
                <w:sz w:val="18"/>
                <w:szCs w:val="20"/>
              </w:rPr>
              <w:t>.</w:t>
            </w:r>
          </w:p>
          <w:p w14:paraId="4BFEA361" w14:textId="02CE9DC1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4B869C9A" w14:textId="06328F3A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5CAD4EEE" w14:textId="7FB9D666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1763145F" w14:textId="77777777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01542C89" w14:textId="210AB77C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Ravnateljica</w:t>
            </w:r>
          </w:p>
          <w:p w14:paraId="332DE53E" w14:textId="19E5C76A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1744DE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dr.sc Sanja Tišma</w:t>
            </w:r>
          </w:p>
          <w:p w14:paraId="7145E262" w14:textId="77777777" w:rsidR="0043515E" w:rsidRPr="001744DE" w:rsidRDefault="0043515E" w:rsidP="00FD15A2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14:paraId="4C2B957B" w14:textId="623B847C" w:rsidR="00B21CC3" w:rsidRPr="001744DE" w:rsidRDefault="00B21CC3" w:rsidP="007A6DE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A33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A30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E1A" w14:textId="77777777" w:rsidR="00304E6C" w:rsidRPr="001744DE" w:rsidRDefault="00304E6C" w:rsidP="00304E6C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F14D29" w:rsidRPr="001744DE" w14:paraId="43DEDA31" w14:textId="77777777" w:rsidTr="005076F5">
        <w:trPr>
          <w:gridAfter w:val="10"/>
          <w:wAfter w:w="13671" w:type="dxa"/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181C" w14:textId="77777777" w:rsidR="00F14D29" w:rsidRPr="001744DE" w:rsidRDefault="00F14D29" w:rsidP="00155E5D">
            <w:pPr>
              <w:jc w:val="both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14:paraId="1444D34A" w14:textId="77777777" w:rsidR="007A6DE6" w:rsidRPr="001744DE" w:rsidRDefault="007A6DE6" w:rsidP="00304E6C">
      <w:pPr>
        <w:jc w:val="both"/>
        <w:rPr>
          <w:rFonts w:ascii="Calibri" w:hAnsi="Calibri" w:cs="Calibri"/>
          <w:color w:val="000000"/>
          <w:sz w:val="18"/>
          <w:szCs w:val="20"/>
        </w:rPr>
      </w:pPr>
    </w:p>
    <w:sectPr w:rsidR="007A6DE6" w:rsidRPr="001744DE" w:rsidSect="000133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F7C"/>
    <w:multiLevelType w:val="hybridMultilevel"/>
    <w:tmpl w:val="CFFA4F72"/>
    <w:lvl w:ilvl="0" w:tplc="D0560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97D"/>
    <w:multiLevelType w:val="multilevel"/>
    <w:tmpl w:val="140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F2B3C"/>
    <w:multiLevelType w:val="multilevel"/>
    <w:tmpl w:val="966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75E7E"/>
    <w:multiLevelType w:val="multilevel"/>
    <w:tmpl w:val="94A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66A3A"/>
    <w:multiLevelType w:val="multilevel"/>
    <w:tmpl w:val="0C6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C69ED"/>
    <w:multiLevelType w:val="multilevel"/>
    <w:tmpl w:val="D89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19E3"/>
    <w:multiLevelType w:val="hybridMultilevel"/>
    <w:tmpl w:val="7ED09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5AE5"/>
    <w:multiLevelType w:val="multilevel"/>
    <w:tmpl w:val="BB8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27CCB"/>
    <w:multiLevelType w:val="multilevel"/>
    <w:tmpl w:val="956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20929"/>
    <w:multiLevelType w:val="multilevel"/>
    <w:tmpl w:val="2A6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85453"/>
    <w:multiLevelType w:val="multilevel"/>
    <w:tmpl w:val="5878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81366"/>
    <w:multiLevelType w:val="multilevel"/>
    <w:tmpl w:val="D77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11BE0"/>
    <w:multiLevelType w:val="multilevel"/>
    <w:tmpl w:val="08C6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48D3"/>
    <w:multiLevelType w:val="multilevel"/>
    <w:tmpl w:val="1A4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83757"/>
    <w:multiLevelType w:val="hybridMultilevel"/>
    <w:tmpl w:val="2D128068"/>
    <w:lvl w:ilvl="0" w:tplc="33140C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77053"/>
    <w:multiLevelType w:val="multilevel"/>
    <w:tmpl w:val="B9E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01411"/>
    <w:multiLevelType w:val="multilevel"/>
    <w:tmpl w:val="281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F36B7"/>
    <w:multiLevelType w:val="hybridMultilevel"/>
    <w:tmpl w:val="4324509A"/>
    <w:lvl w:ilvl="0" w:tplc="180E56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7"/>
    <w:rsid w:val="00013386"/>
    <w:rsid w:val="00020A13"/>
    <w:rsid w:val="00056CD2"/>
    <w:rsid w:val="0008148E"/>
    <w:rsid w:val="0008480B"/>
    <w:rsid w:val="000A38CB"/>
    <w:rsid w:val="000B44BE"/>
    <w:rsid w:val="000C0AB5"/>
    <w:rsid w:val="000C3296"/>
    <w:rsid w:val="000D40D1"/>
    <w:rsid w:val="000D6733"/>
    <w:rsid w:val="000F1CA7"/>
    <w:rsid w:val="000F1EB9"/>
    <w:rsid w:val="00102EB4"/>
    <w:rsid w:val="0012527E"/>
    <w:rsid w:val="00155E5D"/>
    <w:rsid w:val="00172E65"/>
    <w:rsid w:val="001744DE"/>
    <w:rsid w:val="00184D8B"/>
    <w:rsid w:val="001A0E59"/>
    <w:rsid w:val="001A29FF"/>
    <w:rsid w:val="001C7304"/>
    <w:rsid w:val="001D1E34"/>
    <w:rsid w:val="001F2B7A"/>
    <w:rsid w:val="001F6313"/>
    <w:rsid w:val="00200D3B"/>
    <w:rsid w:val="002113EC"/>
    <w:rsid w:val="002170BF"/>
    <w:rsid w:val="002418AD"/>
    <w:rsid w:val="00242BCA"/>
    <w:rsid w:val="00276A1E"/>
    <w:rsid w:val="00277C43"/>
    <w:rsid w:val="00280AF3"/>
    <w:rsid w:val="00282ABF"/>
    <w:rsid w:val="00291CAA"/>
    <w:rsid w:val="00291F81"/>
    <w:rsid w:val="002A1DBC"/>
    <w:rsid w:val="002A24C5"/>
    <w:rsid w:val="002B5075"/>
    <w:rsid w:val="002D49C0"/>
    <w:rsid w:val="002D4CDF"/>
    <w:rsid w:val="002D612B"/>
    <w:rsid w:val="002F5412"/>
    <w:rsid w:val="00304E6C"/>
    <w:rsid w:val="00344794"/>
    <w:rsid w:val="00362375"/>
    <w:rsid w:val="003A2F9C"/>
    <w:rsid w:val="003A3F55"/>
    <w:rsid w:val="003F7513"/>
    <w:rsid w:val="00426A1C"/>
    <w:rsid w:val="0043515E"/>
    <w:rsid w:val="00443DF0"/>
    <w:rsid w:val="004574E8"/>
    <w:rsid w:val="00475832"/>
    <w:rsid w:val="004A7604"/>
    <w:rsid w:val="004B258E"/>
    <w:rsid w:val="004B50D3"/>
    <w:rsid w:val="004E5DF0"/>
    <w:rsid w:val="004E7A91"/>
    <w:rsid w:val="004F6EFC"/>
    <w:rsid w:val="005076F5"/>
    <w:rsid w:val="005164D3"/>
    <w:rsid w:val="00524D59"/>
    <w:rsid w:val="00536236"/>
    <w:rsid w:val="00547A94"/>
    <w:rsid w:val="00570E33"/>
    <w:rsid w:val="0057217E"/>
    <w:rsid w:val="00587D37"/>
    <w:rsid w:val="005A2B76"/>
    <w:rsid w:val="005A5E6B"/>
    <w:rsid w:val="005A7F41"/>
    <w:rsid w:val="005C5567"/>
    <w:rsid w:val="005D5939"/>
    <w:rsid w:val="006028F5"/>
    <w:rsid w:val="00614185"/>
    <w:rsid w:val="0062690D"/>
    <w:rsid w:val="006414EE"/>
    <w:rsid w:val="00660DDE"/>
    <w:rsid w:val="00694244"/>
    <w:rsid w:val="006F5A6B"/>
    <w:rsid w:val="006F5E26"/>
    <w:rsid w:val="0070703B"/>
    <w:rsid w:val="007224F8"/>
    <w:rsid w:val="00750006"/>
    <w:rsid w:val="007636DE"/>
    <w:rsid w:val="007A6DE6"/>
    <w:rsid w:val="007F2C30"/>
    <w:rsid w:val="007F2C4A"/>
    <w:rsid w:val="00806324"/>
    <w:rsid w:val="008071E5"/>
    <w:rsid w:val="00807752"/>
    <w:rsid w:val="00830A8C"/>
    <w:rsid w:val="00840113"/>
    <w:rsid w:val="008625A5"/>
    <w:rsid w:val="00873BD6"/>
    <w:rsid w:val="00881F79"/>
    <w:rsid w:val="008D1900"/>
    <w:rsid w:val="008E4159"/>
    <w:rsid w:val="0090137A"/>
    <w:rsid w:val="00915847"/>
    <w:rsid w:val="00920370"/>
    <w:rsid w:val="00924461"/>
    <w:rsid w:val="009402DF"/>
    <w:rsid w:val="00945E73"/>
    <w:rsid w:val="00951529"/>
    <w:rsid w:val="00973ECB"/>
    <w:rsid w:val="009A5407"/>
    <w:rsid w:val="009F433B"/>
    <w:rsid w:val="00A61829"/>
    <w:rsid w:val="00A645D7"/>
    <w:rsid w:val="00A967A1"/>
    <w:rsid w:val="00AA04A1"/>
    <w:rsid w:val="00AB0A1C"/>
    <w:rsid w:val="00AC5F86"/>
    <w:rsid w:val="00AE6EC4"/>
    <w:rsid w:val="00AE7E30"/>
    <w:rsid w:val="00B1116F"/>
    <w:rsid w:val="00B171A1"/>
    <w:rsid w:val="00B21CC3"/>
    <w:rsid w:val="00B250F9"/>
    <w:rsid w:val="00B4094B"/>
    <w:rsid w:val="00BA1D90"/>
    <w:rsid w:val="00BA23FA"/>
    <w:rsid w:val="00BA60C6"/>
    <w:rsid w:val="00BB0303"/>
    <w:rsid w:val="00BB0CB8"/>
    <w:rsid w:val="00BB70B5"/>
    <w:rsid w:val="00BF0EA3"/>
    <w:rsid w:val="00C0178C"/>
    <w:rsid w:val="00C40848"/>
    <w:rsid w:val="00C617C6"/>
    <w:rsid w:val="00C64891"/>
    <w:rsid w:val="00C8250B"/>
    <w:rsid w:val="00C83981"/>
    <w:rsid w:val="00C87097"/>
    <w:rsid w:val="00C93C6D"/>
    <w:rsid w:val="00CB7091"/>
    <w:rsid w:val="00CC54AD"/>
    <w:rsid w:val="00CE2254"/>
    <w:rsid w:val="00CE60A2"/>
    <w:rsid w:val="00CE70AE"/>
    <w:rsid w:val="00CF7E77"/>
    <w:rsid w:val="00D4233E"/>
    <w:rsid w:val="00D811F0"/>
    <w:rsid w:val="00D85C96"/>
    <w:rsid w:val="00D868E4"/>
    <w:rsid w:val="00D94C0F"/>
    <w:rsid w:val="00DC18CC"/>
    <w:rsid w:val="00DD27BA"/>
    <w:rsid w:val="00DF243F"/>
    <w:rsid w:val="00E06A40"/>
    <w:rsid w:val="00E21507"/>
    <w:rsid w:val="00E25ED4"/>
    <w:rsid w:val="00E27CC7"/>
    <w:rsid w:val="00E4652B"/>
    <w:rsid w:val="00E63D6C"/>
    <w:rsid w:val="00E951D3"/>
    <w:rsid w:val="00EB1054"/>
    <w:rsid w:val="00ED4CF1"/>
    <w:rsid w:val="00EF19E9"/>
    <w:rsid w:val="00EF24A1"/>
    <w:rsid w:val="00F0174A"/>
    <w:rsid w:val="00F038BD"/>
    <w:rsid w:val="00F0681D"/>
    <w:rsid w:val="00F14D29"/>
    <w:rsid w:val="00F15DCF"/>
    <w:rsid w:val="00F66AF5"/>
    <w:rsid w:val="00F70B7A"/>
    <w:rsid w:val="00F7286D"/>
    <w:rsid w:val="00F82723"/>
    <w:rsid w:val="00F977E5"/>
    <w:rsid w:val="00FA437E"/>
    <w:rsid w:val="00FC1AEF"/>
    <w:rsid w:val="00FC4CBE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390"/>
  <w15:docId w15:val="{6A33D778-22B8-4F89-A960-8C1AD37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211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D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0F1E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286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86D"/>
    <w:rPr>
      <w:i/>
      <w:iCs/>
    </w:rPr>
  </w:style>
  <w:style w:type="character" w:styleId="Strong">
    <w:name w:val="Strong"/>
    <w:basedOn w:val="DefaultParagraphFont"/>
    <w:uiPriority w:val="22"/>
    <w:qFormat/>
    <w:rsid w:val="00F728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13E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uthor">
    <w:name w:val="author"/>
    <w:basedOn w:val="DefaultParagraphFont"/>
    <w:rsid w:val="002113EC"/>
  </w:style>
  <w:style w:type="character" w:styleId="Hyperlink">
    <w:name w:val="Hyperlink"/>
    <w:basedOn w:val="DefaultParagraphFont"/>
    <w:uiPriority w:val="99"/>
    <w:unhideWhenUsed/>
    <w:rsid w:val="002113EC"/>
    <w:rPr>
      <w:color w:val="0000FF"/>
      <w:u w:val="single"/>
    </w:rPr>
  </w:style>
  <w:style w:type="paragraph" w:customStyle="1" w:styleId="essbitem">
    <w:name w:val="essb_item"/>
    <w:basedOn w:val="Normal"/>
    <w:rsid w:val="002113EC"/>
    <w:pPr>
      <w:spacing w:before="100" w:beforeAutospacing="1" w:after="100" w:afterAutospacing="1"/>
    </w:pPr>
  </w:style>
  <w:style w:type="character" w:customStyle="1" w:styleId="essbnetworkname">
    <w:name w:val="essb_network_name"/>
    <w:basedOn w:val="DefaultParagraphFont"/>
    <w:rsid w:val="002113EC"/>
  </w:style>
  <w:style w:type="paragraph" w:customStyle="1" w:styleId="has-background">
    <w:name w:val="has-background"/>
    <w:basedOn w:val="Normal"/>
    <w:rsid w:val="002113E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2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D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73BD6"/>
    <w:rPr>
      <w:color w:val="605E5C"/>
      <w:shd w:val="clear" w:color="auto" w:fill="E1DFDD"/>
    </w:rPr>
  </w:style>
  <w:style w:type="character" w:customStyle="1" w:styleId="social">
    <w:name w:val="social"/>
    <w:basedOn w:val="DefaultParagraphFont"/>
    <w:rsid w:val="003A2F9C"/>
  </w:style>
  <w:style w:type="character" w:customStyle="1" w:styleId="midas-itw-header-text">
    <w:name w:val="midas-itw-header-text"/>
    <w:basedOn w:val="DefaultParagraphFont"/>
    <w:rsid w:val="003A2F9C"/>
  </w:style>
  <w:style w:type="paragraph" w:customStyle="1" w:styleId="midas-itw-list-item">
    <w:name w:val="midas-itw-list-item"/>
    <w:basedOn w:val="Normal"/>
    <w:rsid w:val="003A2F9C"/>
    <w:pPr>
      <w:spacing w:before="100" w:beforeAutospacing="1" w:after="100" w:afterAutospacing="1"/>
    </w:pPr>
  </w:style>
  <w:style w:type="character" w:customStyle="1" w:styleId="midas-itw-text">
    <w:name w:val="midas-itw-text"/>
    <w:basedOn w:val="DefaultParagraphFont"/>
    <w:rsid w:val="003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244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70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2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673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5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9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2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311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7ED6-95DC-4E46-AB4E-687C035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Lukić</dc:creator>
  <cp:lastModifiedBy>mpavicin</cp:lastModifiedBy>
  <cp:revision>5</cp:revision>
  <cp:lastPrinted>2016-10-04T09:33:00Z</cp:lastPrinted>
  <dcterms:created xsi:type="dcterms:W3CDTF">2023-01-30T12:18:00Z</dcterms:created>
  <dcterms:modified xsi:type="dcterms:W3CDTF">2023-02-06T16:13:00Z</dcterms:modified>
</cp:coreProperties>
</file>