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Ind w:w="-993" w:type="dxa"/>
        <w:tblLook w:val="04A0" w:firstRow="1" w:lastRow="0" w:firstColumn="1" w:lastColumn="0" w:noHBand="0" w:noVBand="1"/>
      </w:tblPr>
      <w:tblGrid>
        <w:gridCol w:w="754"/>
        <w:gridCol w:w="5596"/>
        <w:gridCol w:w="1787"/>
        <w:gridCol w:w="1461"/>
        <w:gridCol w:w="1318"/>
        <w:gridCol w:w="200"/>
        <w:gridCol w:w="1199"/>
        <w:gridCol w:w="920"/>
        <w:gridCol w:w="436"/>
        <w:gridCol w:w="318"/>
        <w:gridCol w:w="436"/>
      </w:tblGrid>
      <w:tr w:rsidR="00F0681D" w:rsidRPr="001744DE" w14:paraId="13B68DB6" w14:textId="77777777" w:rsidTr="005076F5">
        <w:trPr>
          <w:gridAfter w:val="1"/>
          <w:wAfter w:w="436" w:type="dxa"/>
          <w:trHeight w:val="34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09C9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Broj RKP-a: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22621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4C2659BB" w14:textId="601EE06E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AOP oznaka razdoblja: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202</w:t>
            </w:r>
            <w:r w:rsidR="00436B88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-12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764D428E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Matični broj: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03205177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0CFF49CF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Naziv obveznika: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INSTITUT ZA RAZVOJ I  MEĐUNARODNE ODNOSE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38BF465E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Pošta i mjesto: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10000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ab/>
              <w:t>ZAGREB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1CFB5885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Ulica i kućni broj: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LJ.F.VUKOTINOVIĆA 2/II</w:t>
            </w:r>
          </w:p>
          <w:p w14:paraId="717FAE05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OIB: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31120185175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4A43EF80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Razina: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11 Proračunski korisnik državnog proračuna i glava unutar nadležnog ministarstva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2B47DABE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Šifra djelatnosti: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7220 Istraživanje i eksperimentalni razvoj u društvenim i humanističkim znanostima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7E9F6B4F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Razdjel: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080 Razdjel: MINISTARSTVO ZNANOSTI I OBRAZOVANJA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44E4B00F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Šifra grada/općine: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133 Županija: GRAD ZAGREB, grad/općina: GRAD ZAGREB</w:t>
            </w:r>
          </w:p>
          <w:p w14:paraId="1442FAC1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Osoba za kontaktiranje: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Milva Pavičin-Karamatić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689A86A4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Telefon: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014877460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  <w:t xml:space="preserve"> </w:t>
            </w:r>
          </w:p>
          <w:p w14:paraId="0B2C3B31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Adresa e-pošte za kontakt: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milva@irmo.hr</w:t>
            </w:r>
          </w:p>
          <w:p w14:paraId="3AE772B6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Adresa e-pošte obveznika: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ured@irmo.hr</w:t>
            </w:r>
          </w:p>
          <w:p w14:paraId="6432588A" w14:textId="5C287486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Zakonski predstavnik: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dr. sc Sanja Tišma</w:t>
            </w:r>
          </w:p>
          <w:p w14:paraId="23A37282" w14:textId="77777777" w:rsidR="00362375" w:rsidRPr="001744DE" w:rsidRDefault="00362375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65DE72E" w14:textId="77777777" w:rsidR="00362375" w:rsidRPr="001744DE" w:rsidRDefault="00362375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38524A3A" w14:textId="77777777" w:rsidR="000E0FBE" w:rsidRDefault="000E0FBE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85A4B7C" w14:textId="12253441" w:rsidR="00945E73" w:rsidRPr="00BA23FA" w:rsidRDefault="00945E73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FINANCIJSKE IZVJEŠTAJE ZA RAZDOBLJE OD  1. SIJEČNJA 202</w:t>
            </w:r>
            <w:r w:rsidR="00F61C62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  DO  31. PROSINCA 202</w:t>
            </w:r>
            <w:r w:rsidR="00436B88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GODINE</w:t>
            </w:r>
          </w:p>
          <w:p w14:paraId="73715AE4" w14:textId="60F2AC00" w:rsidR="00945E73" w:rsidRPr="00BA23FA" w:rsidRDefault="00945E73" w:rsidP="00945E7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su sastavljene na temelju članka 1</w:t>
            </w:r>
            <w:r w:rsidR="00337CCA">
              <w:rPr>
                <w:rFonts w:ascii="Calibri" w:hAnsi="Calibri" w:cs="Calibri"/>
                <w:color w:val="000000"/>
                <w:sz w:val="18"/>
                <w:szCs w:val="20"/>
              </w:rPr>
              <w:t>34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Zakona o proračunu (</w:t>
            </w:r>
            <w:r w:rsidR="00B171D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NN </w:t>
            </w:r>
            <w:r w:rsidR="00337CCA">
              <w:rPr>
                <w:rFonts w:ascii="Calibri" w:hAnsi="Calibri" w:cs="Calibri"/>
                <w:color w:val="000000"/>
                <w:sz w:val="18"/>
                <w:szCs w:val="20"/>
              </w:rPr>
              <w:t>144/21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.) i Pravilnika o financijskom izvještavanju u proračunskom računovodstvu (NN</w:t>
            </w:r>
            <w:r w:rsidR="00337CC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37/22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) kojim je propisana obveza sastavljanja financijskih izvještaja i Bilješki uz financijske izvještaje.</w:t>
            </w:r>
          </w:p>
          <w:p w14:paraId="62CF0189" w14:textId="09FA2D92" w:rsidR="00945E73" w:rsidRPr="001744DE" w:rsidRDefault="00945E7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DB2F934" w14:textId="360F1E73" w:rsidR="00807752" w:rsidRPr="001744DE" w:rsidRDefault="0080775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D100474" w14:textId="77777777" w:rsidR="00807752" w:rsidRPr="001744DE" w:rsidRDefault="0080775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724FC57" w14:textId="68EDCEDC" w:rsidR="00945E73" w:rsidRPr="001744DE" w:rsidRDefault="00945E7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Uvod</w:t>
            </w:r>
          </w:p>
          <w:tbl>
            <w:tblPr>
              <w:tblW w:w="0" w:type="auto"/>
              <w:tblCellSpacing w:w="15" w:type="dxa"/>
              <w:tblInd w:w="15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1D1E34" w:rsidRPr="001744DE" w14:paraId="5596FD0E" w14:textId="77777777" w:rsidTr="001D1E3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55451081" w14:textId="40C288AD" w:rsidR="001D1E34" w:rsidRPr="001744DE" w:rsidRDefault="00D4233E" w:rsidP="001744DE">
                  <w:pPr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Puni n</w:t>
                  </w:r>
                  <w:r w:rsidR="001D1E34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aziv:</w:t>
                  </w: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 xml:space="preserve"> </w:t>
                  </w:r>
                  <w:r w:rsidR="001D1E34" w:rsidRPr="001744DE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Institut za razvoj i međunarodne odnose</w:t>
                  </w:r>
                </w:p>
              </w:tc>
            </w:tr>
          </w:tbl>
          <w:p w14:paraId="1C76D3E9" w14:textId="77777777" w:rsidR="001D1E34" w:rsidRPr="001744DE" w:rsidRDefault="001D1E34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tbl>
            <w:tblPr>
              <w:tblW w:w="0" w:type="auto"/>
              <w:tblCellSpacing w:w="15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201"/>
            </w:tblGrid>
            <w:tr w:rsidR="001D1E34" w:rsidRPr="001744DE" w14:paraId="3FC22989" w14:textId="77777777" w:rsidTr="00587D3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14:paraId="15AC529C" w14:textId="0CEBC7E1" w:rsidR="001D1E34" w:rsidRPr="001744DE" w:rsidRDefault="00D4233E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 xml:space="preserve">Engleski: </w:t>
                  </w:r>
                  <w:r w:rsidR="001D1E34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Institute for Development and International Relations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14:paraId="0EE9F0A9" w14:textId="6E6CB099" w:rsidR="001D1E34" w:rsidRPr="001744DE" w:rsidRDefault="001D1E3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14:paraId="16C031B5" w14:textId="77777777" w:rsidR="001D1E34" w:rsidRPr="001744DE" w:rsidRDefault="001D1E34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tbl>
            <w:tblPr>
              <w:tblW w:w="0" w:type="auto"/>
              <w:tblCellSpacing w:w="15" w:type="dxa"/>
              <w:tblInd w:w="15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1D1E34" w:rsidRPr="001744DE" w14:paraId="3293C1DD" w14:textId="77777777" w:rsidTr="001D1E3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663FA46C" w14:textId="3622258E" w:rsidR="001D1E34" w:rsidRPr="00BA23FA" w:rsidRDefault="00D4233E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Skraćen</w:t>
                  </w:r>
                  <w:r w:rsidR="000E0FBE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o ime</w:t>
                  </w: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:</w:t>
                  </w:r>
                  <w:r w:rsidR="002D612B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 xml:space="preserve"> </w:t>
                  </w:r>
                  <w:r w:rsidR="001D1E34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IRMO</w:t>
                  </w:r>
                </w:p>
              </w:tc>
            </w:tr>
          </w:tbl>
          <w:p w14:paraId="70536730" w14:textId="77777777" w:rsidR="001D1E34" w:rsidRPr="00BA23FA" w:rsidRDefault="001D1E3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BC15297" w14:textId="58BD778E" w:rsidR="001C7304" w:rsidRPr="00BA23FA" w:rsidRDefault="004B258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Institut za razvoj i međunarodne odnose je osnovan 21.svibnja 1963. godine kao Institut za proučavanje Afrike odlukom Sveučilišnog savjeta u Zagrebu u zajednici s Privrednom komorom Hrvatske. Pomicanje istraživačkog fokusa 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na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zemlje u razvoju Azije i Latinske Amerike i na globalne razvojne procese Instituta odrazilo se 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 promjene programa i imena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pa tako 1971. godine 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postaje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Institut za zemlje u razvoju, 1989. mijenja ime u Institut za razvoj i međunarodne odnose; 1996. godine u Institut za međunarodne odnose, da bi se 2013. godine vratio naslovu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Institut za razvoj i međunarodne odnose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37F4E837" w14:textId="5CF9F357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Registriran u sudskom registru Trgovačkog suda u Zagrebu</w:t>
            </w:r>
          </w:p>
          <w:p w14:paraId="42CFB3CF" w14:textId="3531DC39" w:rsidR="00EF24A1" w:rsidRPr="001744DE" w:rsidRDefault="00EF24A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MBS: 080164610</w:t>
            </w:r>
          </w:p>
          <w:p w14:paraId="6F623032" w14:textId="3DDB90A5" w:rsidR="00CE2254" w:rsidRPr="00BA23FA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Pravni oblik: ustanova</w:t>
            </w:r>
          </w:p>
          <w:p w14:paraId="2B48DDDD" w14:textId="60E8FB75" w:rsidR="00CE2254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Osnovne d</w:t>
            </w:r>
            <w:r w:rsidR="00CE225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jelatnost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CE225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</w:p>
          <w:tbl>
            <w:tblPr>
              <w:tblW w:w="0" w:type="auto"/>
              <w:tblCellSpacing w:w="15" w:type="dxa"/>
              <w:tblInd w:w="15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265"/>
            </w:tblGrid>
            <w:tr w:rsidR="00CE2254" w:rsidRPr="001744DE" w14:paraId="501A17C1" w14:textId="77777777" w:rsidTr="00CE225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10942D2D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1F95C7AE" w14:textId="460C270C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davanje znanstvenoistraživačke podloge za djelovanje Ministarstva vanjskih poslova i Hrvatske gospodarske komore, te drugih državnih tijela i ustanova</w:t>
                  </w:r>
                </w:p>
              </w:tc>
            </w:tr>
            <w:tr w:rsidR="00CE2254" w:rsidRPr="001744DE" w14:paraId="23B67477" w14:textId="77777777" w:rsidTr="00CE225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140E3423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7FF2E134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izrada prostorno planske i razvojne dokumentacije</w:t>
                  </w:r>
                </w:p>
              </w:tc>
            </w:tr>
            <w:tr w:rsidR="00CE2254" w:rsidRPr="001744DE" w14:paraId="7D04F8D5" w14:textId="77777777" w:rsidTr="00CE225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299EB45A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4879A03C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znanstvena i razvojna istraživanja, objavljivanje rezultata tih istraživanja, znanstveno osposobljavanje i obrazovanje odraslih, održavanje i razvijanje znanstvenoistraživačke infrastrukture (prema Zakonu o znanstvenoistraživačkoj djelatnosti)</w:t>
                  </w:r>
                </w:p>
              </w:tc>
            </w:tr>
          </w:tbl>
          <w:p w14:paraId="1BE77EFE" w14:textId="322B3F36" w:rsidR="00CE2254" w:rsidRPr="00BA23FA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Osnivač: Vlada Republike Hrvatske</w:t>
            </w:r>
          </w:p>
          <w:p w14:paraId="1EBC3EA2" w14:textId="5B42DBFD" w:rsidR="00CE2254" w:rsidRPr="001744DE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OIB: 31120185175</w:t>
            </w:r>
          </w:p>
          <w:p w14:paraId="2EFE5094" w14:textId="1E721BA2" w:rsidR="00CE2254" w:rsidRPr="00BA23FA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Institut je u sistemu PDV</w:t>
            </w:r>
            <w:r w:rsidR="001252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 za dio prihoda od tržišnih djelatnosti </w:t>
            </w:r>
          </w:p>
          <w:p w14:paraId="05A22CEE" w14:textId="1B0EFBF1" w:rsidR="00CE2254" w:rsidRPr="001744DE" w:rsidRDefault="003A3F55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PDV 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b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roj</w:t>
            </w:r>
            <w:r w:rsidR="0061418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HR31120185175</w:t>
            </w:r>
          </w:p>
          <w:p w14:paraId="747DA686" w14:textId="5DE10A4B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Odgovorna osoba za ustanovu:</w:t>
            </w:r>
          </w:p>
          <w:p w14:paraId="5EC7FBCF" w14:textId="1F56BEC3" w:rsidR="001D1E34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</w:t>
            </w:r>
            <w:r w:rsidR="001D1E3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avnateljica</w:t>
            </w:r>
          </w:p>
          <w:p w14:paraId="71648592" w14:textId="378A094A" w:rsidR="001D1E34" w:rsidRPr="00BA23FA" w:rsidRDefault="001D1E3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dr.sc. Sanja Tišma</w:t>
            </w:r>
          </w:p>
          <w:p w14:paraId="2F89AC12" w14:textId="1D54B5B7" w:rsidR="001D1E34" w:rsidRPr="00BA23FA" w:rsidRDefault="001D1E3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Zastupa ustanovu pojedinačno i samostalno</w:t>
            </w:r>
          </w:p>
          <w:p w14:paraId="55CBF87C" w14:textId="3F26C7A0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Odgovorna osoba za računovodstvo:</w:t>
            </w:r>
          </w:p>
          <w:p w14:paraId="4DC5287B" w14:textId="5A097F2B" w:rsidR="00C64891" w:rsidRPr="00BA23FA" w:rsidRDefault="00C6489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voditeljica računovodstva</w:t>
            </w:r>
          </w:p>
          <w:p w14:paraId="7C511709" w14:textId="1396E6CC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Milva Pavičin-Karamatić,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dipl</w:t>
            </w:r>
            <w:r w:rsidR="002D61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oec</w:t>
            </w:r>
            <w:r w:rsidR="002D61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0AD63EA1" w14:textId="77777777" w:rsidR="00184D8B" w:rsidRPr="00BA23FA" w:rsidRDefault="00184D8B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50A663F" w14:textId="76882FF2" w:rsidR="00830A8C" w:rsidRPr="00BA23FA" w:rsidRDefault="00830A8C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Institut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je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uzeo u zakup drugi kat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zgra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 Hrvatskog šumarskog društva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 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ulici LJ</w:t>
            </w:r>
            <w:r w:rsidR="00C6489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Farkaša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Vukotinović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2D61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2/II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Zgrada je oštećena u zagrebačkom i u petrinjskom potresu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te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obnovljena </w:t>
            </w:r>
            <w:r w:rsidR="0080632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sredstvima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zakupodavca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Za vrijeme sanacije se zgrada nije koristila niti se najamnina naplaćivala.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Tako se nastavilo sve do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žujka 2021</w:t>
            </w:r>
            <w:r w:rsidR="00EB105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kada je sanacija završena</w:t>
            </w:r>
            <w:r w:rsidR="0080632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nstitut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je dodatno investirao 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unutrašnje uređenje zakupljenog prostora, </w:t>
            </w:r>
            <w:r w:rsidR="008D1900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novu nabavu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namještaj</w:t>
            </w:r>
            <w:r w:rsidR="008D1900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oprem</w:t>
            </w:r>
            <w:r w:rsidR="008D1900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e jer je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dugotrajna imovina stradala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 </w:t>
            </w:r>
            <w:r w:rsidR="0080632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potresu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odvezena na glomazni otpad.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T</w:t>
            </w:r>
            <w:r w:rsidR="007F2C4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ije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kom 2020. godine se z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bog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sanacije zgrade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 xml:space="preserve">od 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posljedice potresa i pandemije koronavirusa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se radilo u otežanim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="001252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vjeti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radi čega se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posao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se organizirao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B4094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 modelu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rad od kuće za sve poslove za koje je to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bilo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moguće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Iako je zgrada obnovljena 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do ožujka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2021. godin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dalje 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se </w:t>
            </w:r>
            <w:r w:rsidR="008401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koristi opcija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rad</w:t>
            </w:r>
            <w:r w:rsidR="008401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kuće zbog pandemije koronavirusa.</w:t>
            </w:r>
            <w:r w:rsidR="00DD27B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ali i uštede na troškovima grijanja i hlađenja u zimskim i ljetnim mjesecima.</w:t>
            </w:r>
          </w:p>
          <w:p w14:paraId="772452A7" w14:textId="77777777" w:rsidR="002D4CDF" w:rsidRPr="001744DE" w:rsidRDefault="002D4CDF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516C39D" w14:textId="255B0EE4" w:rsidR="002D4CDF" w:rsidRPr="00BA23FA" w:rsidRDefault="002D4CDF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315704CA" w14:textId="77CF7502" w:rsidR="002D4CDF" w:rsidRPr="001744DE" w:rsidRDefault="00C93C6D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obrazac BIL</w:t>
            </w:r>
          </w:p>
          <w:p w14:paraId="319DF689" w14:textId="77777777" w:rsidR="00230BA3" w:rsidRDefault="00230BA3" w:rsidP="00230BA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BA82821" w14:textId="4D18205A" w:rsidR="00230BA3" w:rsidRPr="00BA23FA" w:rsidRDefault="00230BA3" w:rsidP="00230BA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Ukupna imovina jednaka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je ukupnom iznosu na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šifri B003 Obveze i vlastiti izvori.</w:t>
            </w:r>
          </w:p>
          <w:p w14:paraId="4706A23F" w14:textId="3543DBBF" w:rsidR="001649B9" w:rsidRDefault="00D94C0F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550D3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B001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Ukupna imovina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 31.12.202</w:t>
            </w:r>
            <w:r w:rsidR="00337CCA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godine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iznosi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833,408,50 eura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što je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rast od 22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8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% u odnosu na prošlu godinu.</w:t>
            </w:r>
          </w:p>
          <w:p w14:paraId="1AE5F5E4" w14:textId="79FC5CA4" w:rsidR="00C93C6D" w:rsidRPr="00BA23FA" w:rsidRDefault="00280AF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  <w:r w:rsidR="008D30D7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Nefinancijska imovine je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pala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%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 odnosu na prošlu godinu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jer smo većinu potrebne opreme i namještaja nabavili u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prethodnim godinama. U ovoj godini smo kupili opreme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 namještaja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u vrijednosti od 17 949,02</w:t>
            </w:r>
            <w:r w:rsidR="00230BA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eura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dodatno smo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otpisali zastarjele i oštećene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opreme i namještaja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u iznosu od 34.033,57</w:t>
            </w:r>
            <w:r w:rsidR="00230BA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649B9">
              <w:rPr>
                <w:rFonts w:ascii="Calibri" w:hAnsi="Calibri" w:cs="Calibri"/>
                <w:color w:val="000000"/>
                <w:sz w:val="18"/>
                <w:szCs w:val="20"/>
              </w:rPr>
              <w:t>eura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34FF7619" w14:textId="33398DF5" w:rsidR="00E4652B" w:rsidRPr="00BA23FA" w:rsidRDefault="00280AF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550D3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1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Financijska imovina bilježi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>rast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>27,7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%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zbog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povećanih priljeva za novougovorene projekte </w:t>
            </w:r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IMPACT, </w:t>
            </w:r>
            <w:proofErr w:type="spellStart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>Barmig</w:t>
            </w:r>
            <w:proofErr w:type="spellEnd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, </w:t>
            </w:r>
            <w:proofErr w:type="spellStart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>Reclaim</w:t>
            </w:r>
            <w:proofErr w:type="spellEnd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, </w:t>
            </w:r>
            <w:proofErr w:type="spellStart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>Crescine</w:t>
            </w:r>
            <w:proofErr w:type="spellEnd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 94.005 eura iz Fonda za oporavak i otpornost </w:t>
            </w:r>
            <w:r w:rsidR="000E0FB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na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>temelj</w:t>
            </w:r>
            <w:r w:rsidR="000E0FBE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potpisanog programskog</w:t>
            </w:r>
            <w:r w:rsidR="00230BA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ugovora za </w:t>
            </w:r>
            <w:r w:rsidR="00DA710A">
              <w:rPr>
                <w:rFonts w:ascii="Calibri" w:hAnsi="Calibri" w:cs="Calibri"/>
                <w:color w:val="000000"/>
                <w:sz w:val="18"/>
                <w:szCs w:val="20"/>
              </w:rPr>
              <w:t>razdoblje 2024-202</w:t>
            </w:r>
            <w:r w:rsidR="00CC591B">
              <w:rPr>
                <w:rFonts w:ascii="Calibri" w:hAnsi="Calibri" w:cs="Calibri"/>
                <w:color w:val="000000"/>
                <w:sz w:val="18"/>
                <w:szCs w:val="20"/>
              </w:rPr>
              <w:t>7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</w:t>
            </w:r>
          </w:p>
          <w:p w14:paraId="05265822" w14:textId="00DE7FDF" w:rsidR="00EC4722" w:rsidRDefault="002B5075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550D3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12</w:t>
            </w:r>
            <w:r w:rsidR="003E6615" w:rsidRPr="00550D3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2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ja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m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čevni</w:t>
            </w:r>
            <w:proofErr w:type="spellEnd"/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polozi</w:t>
            </w:r>
            <w:proofErr w:type="spellEnd"/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bilježe pad jer su 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 završenim ugovorima </w:t>
            </w:r>
            <w:proofErr w:type="spellStart"/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jamčevni</w:t>
            </w:r>
            <w:proofErr w:type="spellEnd"/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polozi</w:t>
            </w:r>
            <w:proofErr w:type="spellEnd"/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vraćeni a po novim poslovima nije ugovorena obveza uplate jamstva.</w:t>
            </w:r>
          </w:p>
          <w:p w14:paraId="0AC82E46" w14:textId="5C9534CF" w:rsidR="002B5075" w:rsidRPr="00BA23FA" w:rsidRDefault="00EC4722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550D3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129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se sastoji od  p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otraživanja za naknade koje se refundiraju HZZO u iznosu od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1.322,95 eura</w:t>
            </w:r>
            <w:r w:rsidR="00230BA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potraživanje od HEP Opskrbe po odobrenjima u iznosu od 778,17 eura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</w:t>
            </w:r>
          </w:p>
          <w:p w14:paraId="635E8677" w14:textId="05C0695D" w:rsidR="004B50D3" w:rsidRPr="001744DE" w:rsidRDefault="004B50D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550D3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191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Rashodi budućih razdoblja se odnose na račune članarin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 udruzi RDF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za 202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godinu</w:t>
            </w:r>
            <w:r w:rsidR="00BF0EA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D539F43" w14:textId="4461BD26" w:rsidR="00E4652B" w:rsidRPr="00BA23FA" w:rsidRDefault="00280AF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193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Kontinuirani rashodi budućih razdoblja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uključuju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obvez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 plaće za prosinac 202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 bilježe porast od 1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5,2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% zbog povećanja osnovice za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obračun plaće 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>t</w:t>
            </w:r>
            <w:r w:rsidR="00230BA3">
              <w:rPr>
                <w:rFonts w:ascii="Calibri" w:hAnsi="Calibri" w:cs="Calibri"/>
                <w:color w:val="000000"/>
                <w:sz w:val="18"/>
                <w:szCs w:val="20"/>
              </w:rPr>
              <w:t>ijeko</w:t>
            </w:r>
            <w:r w:rsidR="003E661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m 2023. godine. </w:t>
            </w:r>
          </w:p>
          <w:p w14:paraId="21788E61" w14:textId="075203A9" w:rsidR="00C93C6D" w:rsidRPr="00BA23FA" w:rsidRDefault="00ED4CF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Šifra </w:t>
            </w:r>
            <w:r w:rsidR="004B50D3"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B003</w:t>
            </w:r>
            <w:r w:rsidR="00020A1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Obvez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e i vlastiti izvori također bilježe 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rast o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d 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22,8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% u odnosu na prošlu godinu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većinom zbog rasta obveze za zaposlene kao rezultata porasta o</w:t>
            </w:r>
            <w:r w:rsidR="000110F3">
              <w:rPr>
                <w:rFonts w:ascii="Calibri" w:hAnsi="Calibri" w:cs="Calibri"/>
                <w:color w:val="000000"/>
                <w:sz w:val="18"/>
                <w:szCs w:val="20"/>
              </w:rPr>
              <w:t>sn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ovice za obračun plaće </w:t>
            </w:r>
            <w:r w:rsidR="00230BA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te 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rasta materijaln</w:t>
            </w:r>
            <w:r w:rsidR="000110F3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EC4722">
              <w:rPr>
                <w:rFonts w:ascii="Calibri" w:hAnsi="Calibri" w:cs="Calibri"/>
                <w:color w:val="000000"/>
                <w:sz w:val="18"/>
                <w:szCs w:val="20"/>
              </w:rPr>
              <w:t>h rashoda</w:t>
            </w:r>
            <w:r w:rsidR="000110F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ostvarenog viška od poslovanja u tekućoj poslovnoj godini.</w:t>
            </w:r>
          </w:p>
          <w:p w14:paraId="7464B885" w14:textId="706312A1" w:rsidR="000110F3" w:rsidRDefault="00ED4CF1" w:rsidP="000110F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922</w:t>
            </w:r>
            <w:r w:rsidR="000110F3"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11</w:t>
            </w:r>
            <w:r w:rsidR="00547A9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0110F3">
              <w:rPr>
                <w:rFonts w:ascii="Calibri" w:hAnsi="Calibri" w:cs="Calibri"/>
                <w:color w:val="000000"/>
                <w:sz w:val="18"/>
                <w:szCs w:val="20"/>
              </w:rPr>
              <w:t>Višak od poslovanja bilježi porast od 28,3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0110F3">
              <w:rPr>
                <w:rFonts w:ascii="Calibri" w:hAnsi="Calibri" w:cs="Calibri"/>
                <w:color w:val="000000"/>
                <w:sz w:val="18"/>
                <w:szCs w:val="20"/>
              </w:rPr>
              <w:t>% u odnosu na prošlu godinu. Na taj porast je najviše utjecao priljev iz Fonda za oporavak i otpornost jer će troškovi financirani iz tog priljeva nastati u sljedećoj poslovnoj godini.</w:t>
            </w:r>
          </w:p>
          <w:p w14:paraId="52D68851" w14:textId="5470EB3B" w:rsidR="00EF19E9" w:rsidRPr="00BA23FA" w:rsidRDefault="00344794" w:rsidP="000110F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996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Izvanbilančni</w:t>
            </w:r>
            <w:proofErr w:type="spellEnd"/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zapisi 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sadrže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primljen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dan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instrument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osiguranja plaćanja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 ugovornim odnosima</w:t>
            </w:r>
            <w:r w:rsidR="006F5A6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-bjanko zadužnice.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86E8F" w14:textId="77777777" w:rsidR="00F0681D" w:rsidRPr="001744DE" w:rsidRDefault="00F0681D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2358" w14:textId="77777777" w:rsidR="00F0681D" w:rsidRPr="001744DE" w:rsidRDefault="00F0681D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304E6C" w:rsidRPr="001744DE" w14:paraId="5D294A9E" w14:textId="77777777" w:rsidTr="005076F5">
        <w:trPr>
          <w:trHeight w:val="315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106" w14:textId="43F610FA" w:rsidR="00807752" w:rsidRPr="001744DE" w:rsidRDefault="00807752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1F62ED2" w14:textId="77777777" w:rsidR="00C64891" w:rsidRPr="001744DE" w:rsidRDefault="00C64891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FE1678C" w14:textId="6966A5DC" w:rsidR="00587D37" w:rsidRPr="001744DE" w:rsidRDefault="00304E6C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uz obrazac PR-RAS</w:t>
            </w:r>
          </w:p>
          <w:p w14:paraId="21F5DC04" w14:textId="77777777" w:rsidR="00013386" w:rsidRPr="001744DE" w:rsidRDefault="00013386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4CEF5468" w14:textId="3AD10609" w:rsidR="00587D37" w:rsidRPr="001744DE" w:rsidRDefault="00587D37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E7B6" w14:textId="77777777" w:rsidR="00304E6C" w:rsidRPr="001744DE" w:rsidRDefault="00304E6C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0FE" w14:textId="77777777" w:rsidR="00304E6C" w:rsidRPr="001744DE" w:rsidRDefault="00304E6C" w:rsidP="001744DE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319" w14:textId="77777777" w:rsidR="00304E6C" w:rsidRPr="001744DE" w:rsidRDefault="00304E6C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59E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894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88DD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304E6C" w:rsidRPr="001744DE" w14:paraId="531ACD0B" w14:textId="77777777" w:rsidTr="005076F5">
        <w:trPr>
          <w:trHeight w:val="315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B2AF" w14:textId="23CE9916" w:rsidR="00277C43" w:rsidRPr="001744DE" w:rsidRDefault="00277C43" w:rsidP="00277C4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6</w:t>
            </w:r>
            <w:r w:rsidR="009A540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Prihodi poslovanja iznose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2.160.923,15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te su za 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>17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% 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>veći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ostvarenih prihoda</w:t>
            </w:r>
            <w:r w:rsidR="00524D5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prošle godine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najviše radi povećanja prihoda po šifri 6323 </w:t>
            </w:r>
            <w:r w:rsidR="0019238D" w:rsidRPr="0019238D">
              <w:rPr>
                <w:rFonts w:ascii="Calibri" w:hAnsi="Calibri" w:cs="Calibri"/>
                <w:color w:val="000000"/>
                <w:sz w:val="18"/>
                <w:szCs w:val="20"/>
              </w:rPr>
              <w:t>Tekuće pomoći od institucija i tijela EU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opet zbog prve uplate iz Fonda za oporavak i otpornost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>ali i povećanih prihoda po šifri 6711</w:t>
            </w:r>
            <w:r w:rsidR="0019238D">
              <w:t xml:space="preserve"> </w:t>
            </w:r>
            <w:r w:rsidR="0019238D" w:rsidRPr="0019238D">
              <w:rPr>
                <w:rFonts w:ascii="Calibri" w:hAnsi="Calibri" w:cs="Calibri"/>
                <w:color w:val="000000"/>
                <w:sz w:val="18"/>
                <w:szCs w:val="20"/>
              </w:rPr>
              <w:t>Prihodi iz  nadležnog proračuna za financiranje rashoda poslovanja</w:t>
            </w:r>
            <w:r w:rsidR="0019238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zbog povećane osnovice za obračun plaće u 2023. godini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1AD3C583" w14:textId="363D2800" w:rsidR="0008480B" w:rsidRPr="001744DE" w:rsidRDefault="0008480B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639</w:t>
            </w:r>
            <w:r w:rsidR="009C392A"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</w:t>
            </w:r>
            <w:r w:rsid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 </w:t>
            </w:r>
            <w:r w:rsidR="009C392A" w:rsidRPr="009C39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Tekući prijenosi između proračunskih korisnika istog proračuna </w:t>
            </w:r>
            <w:r w:rsidR="000E0FBE">
              <w:rPr>
                <w:rFonts w:ascii="Calibri" w:hAnsi="Calibri" w:cs="Calibri"/>
                <w:color w:val="000000"/>
                <w:sz w:val="18"/>
                <w:szCs w:val="20"/>
              </w:rPr>
              <w:t>na temelju</w:t>
            </w:r>
            <w:r w:rsidR="009C392A" w:rsidRPr="009C39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prijenosa EU sredstava</w:t>
            </w:r>
            <w:r w:rsidR="009C39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bilježe rast radi uplate Agencije za mobilnost i programe EU za projekt </w:t>
            </w:r>
            <w:proofErr w:type="spellStart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>Erasmus</w:t>
            </w:r>
            <w:proofErr w:type="spellEnd"/>
            <w:r w:rsidR="00550D37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VET.</w:t>
            </w:r>
          </w:p>
          <w:p w14:paraId="4FEA713F" w14:textId="47D3985D" w:rsidR="002B5075" w:rsidRPr="001104D0" w:rsidRDefault="0008480B" w:rsidP="001104D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6615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Prihodi od pruženih usluga su prihodi od tržišnih projekta na temelju prijava na natječaje javne nabave također bilježe pad </w:t>
            </w:r>
            <w:r w:rsidR="0034479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od </w:t>
            </w:r>
            <w:r w:rsidR="009C392A">
              <w:rPr>
                <w:rFonts w:ascii="Calibri" w:hAnsi="Calibri" w:cs="Calibri"/>
                <w:color w:val="000000"/>
                <w:sz w:val="18"/>
                <w:szCs w:val="20"/>
              </w:rPr>
              <w:t>18</w:t>
            </w:r>
            <w:r w:rsidR="0034479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9C392A">
              <w:rPr>
                <w:rFonts w:ascii="Calibri" w:hAnsi="Calibri" w:cs="Calibri"/>
                <w:color w:val="000000"/>
                <w:sz w:val="18"/>
                <w:szCs w:val="20"/>
              </w:rPr>
              <w:t>6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34479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%.</w:t>
            </w:r>
          </w:p>
          <w:p w14:paraId="680CE39B" w14:textId="3ABAD6F4" w:rsidR="000C0AB5" w:rsidRPr="001744DE" w:rsidRDefault="00344794" w:rsidP="00B050F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3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Rashodi poslovanja su </w:t>
            </w:r>
            <w:r w:rsidR="006165B9">
              <w:rPr>
                <w:rFonts w:ascii="Calibri" w:hAnsi="Calibri" w:cs="Calibri"/>
                <w:color w:val="000000"/>
                <w:sz w:val="18"/>
                <w:szCs w:val="20"/>
              </w:rPr>
              <w:t>veći za 7,4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6165B9">
              <w:rPr>
                <w:rFonts w:ascii="Calibri" w:hAnsi="Calibri" w:cs="Calibri"/>
                <w:color w:val="000000"/>
                <w:sz w:val="18"/>
                <w:szCs w:val="20"/>
              </w:rPr>
              <w:t>% u odnosu na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prošl</w:t>
            </w:r>
            <w:r w:rsidR="006165B9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godin</w:t>
            </w:r>
            <w:r w:rsidR="006165B9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="00B050F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Na </w:t>
            </w:r>
            <w:r w:rsidR="00490A18">
              <w:rPr>
                <w:rFonts w:ascii="Calibri" w:hAnsi="Calibri" w:cs="Calibri"/>
                <w:color w:val="000000"/>
                <w:sz w:val="18"/>
                <w:szCs w:val="20"/>
              </w:rPr>
              <w:t>š</w:t>
            </w:r>
            <w:r w:rsidR="00B050F4">
              <w:rPr>
                <w:rFonts w:ascii="Calibri" w:hAnsi="Calibri" w:cs="Calibri"/>
                <w:color w:val="000000"/>
                <w:sz w:val="18"/>
                <w:szCs w:val="20"/>
              </w:rPr>
              <w:t>to je utjecalo povećanje rashoda za zaposlene radi povećanja osnovice za obračun plače t</w:t>
            </w:r>
            <w:r w:rsidR="000E0FBE">
              <w:rPr>
                <w:rFonts w:ascii="Calibri" w:hAnsi="Calibri" w:cs="Calibri"/>
                <w:color w:val="000000"/>
                <w:sz w:val="18"/>
                <w:szCs w:val="20"/>
              </w:rPr>
              <w:t>ijekom</w:t>
            </w:r>
            <w:r w:rsidR="00B050F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2023, te veća mobilnosti znanstvenika odlaskom na konferencije, seminare, nabavke znanstvene literature i objave znanstvenih radova. Istovremeno rashodi za usluge imaju značajan pad zbog manjih troškova za intelektualne i osobne usluge.</w:t>
            </w:r>
            <w:r w:rsidR="000C0AB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14:paraId="6E533B44" w14:textId="2CD514B3" w:rsidR="00B21CC3" w:rsidRPr="001744DE" w:rsidRDefault="00276A1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3239</w:t>
            </w:r>
            <w:r w:rsidR="00D811F0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Ostale usluge sadrže rashode za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490A18">
              <w:rPr>
                <w:rFonts w:ascii="Calibri" w:hAnsi="Calibri" w:cs="Calibri"/>
                <w:color w:val="000000"/>
                <w:sz w:val="18"/>
                <w:szCs w:val="20"/>
              </w:rPr>
              <w:t>Grafičke i tiskarske usluge 6.171,11 eura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490A1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Uređenje poslovnog prostora 500 eura,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A58C1">
              <w:rPr>
                <w:rFonts w:ascii="Calibri" w:hAnsi="Calibri" w:cs="Calibri"/>
                <w:color w:val="000000"/>
                <w:sz w:val="18"/>
                <w:szCs w:val="20"/>
              </w:rPr>
              <w:t>Objave oglasa 1.522,42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43515E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usluge čišćenja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15764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  <w:r w:rsidR="00490A18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F15764">
              <w:rPr>
                <w:rFonts w:ascii="Calibri" w:hAnsi="Calibri" w:cs="Calibri"/>
                <w:color w:val="000000"/>
                <w:sz w:val="18"/>
                <w:szCs w:val="20"/>
              </w:rPr>
              <w:t>242,41</w:t>
            </w:r>
            <w:r w:rsidR="00FA58C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eura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, troškovi zašite na radu </w:t>
            </w:r>
            <w:r w:rsidR="00FA58C1">
              <w:rPr>
                <w:rFonts w:ascii="Calibri" w:hAnsi="Calibri" w:cs="Calibri"/>
                <w:color w:val="000000"/>
                <w:sz w:val="18"/>
                <w:szCs w:val="20"/>
              </w:rPr>
              <w:t>876,93 eura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, usluge Fine-statistika </w:t>
            </w:r>
            <w:r w:rsidR="00FA58C1"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  <w:r w:rsidR="00490A18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  <w:r w:rsidR="00FA58C1">
              <w:rPr>
                <w:rFonts w:ascii="Calibri" w:hAnsi="Calibri" w:cs="Calibri"/>
                <w:color w:val="000000"/>
                <w:sz w:val="18"/>
                <w:szCs w:val="20"/>
              </w:rPr>
              <w:t>,56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D17BE10" w14:textId="6DDDD711" w:rsidR="00276A1E" w:rsidRPr="001744DE" w:rsidRDefault="00276A1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34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Financijski rashodi biljež</w:t>
            </w:r>
            <w:r w:rsidR="00426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pad </w:t>
            </w:r>
            <w:r w:rsidR="00426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zbog 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>smanjenja</w:t>
            </w:r>
            <w:r w:rsidR="00426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bankovnih transakcija 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zbog završetka  većih </w:t>
            </w:r>
            <w:r w:rsidR="00426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projek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t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>nih aktivnosti.</w:t>
            </w:r>
          </w:p>
          <w:p w14:paraId="675BC5B1" w14:textId="48788BDB" w:rsidR="00F66AF5" w:rsidRPr="001744DE" w:rsidRDefault="00172E6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4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Rashodi za nabavu nefinancijske imovine bilježe p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ad 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>14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%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j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>er smo opremu i namještaj u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ništenu 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od potresa </w:t>
            </w:r>
            <w:r w:rsidR="007764A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obnovili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 prošlim godinama</w:t>
            </w:r>
            <w:r w:rsidR="007764A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pa ove godine nije bil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većih potreba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osim redovne zamjene zastarjelih računala i komunikacijske opreme.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B0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F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inancirano sredstvima programskog ugovora.</w:t>
            </w:r>
          </w:p>
          <w:p w14:paraId="53DFCAD6" w14:textId="5E0DD34C" w:rsidR="00172E65" w:rsidRPr="001744DE" w:rsidRDefault="00172E65" w:rsidP="00172E65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Šifra </w:t>
            </w:r>
            <w:r w:rsidR="007764AA"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X004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7764AA">
              <w:rPr>
                <w:rFonts w:ascii="Calibri" w:hAnsi="Calibri" w:cs="Calibri"/>
                <w:color w:val="000000"/>
                <w:sz w:val="18"/>
                <w:szCs w:val="20"/>
              </w:rPr>
              <w:t>Višak prihoda- ostvaren je višak u iznosu od 132.249,37 eura jer smo primili prihod od 94.005 eura iz Fonda za oporavak i otpornost a troškovi će biti registrirani u 2024. godini</w:t>
            </w:r>
            <w:r w:rsidR="00BF0EA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38DC48D1" w14:textId="73663967" w:rsidR="00F66AF5" w:rsidRPr="001744DE" w:rsidRDefault="00172E6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X006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Višak prihoda i primitaka raspoloživ u sljedećem razdoblju bilježi 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rast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29,6 % kao rezultat rasta viška (šifra X004)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B79957B" w14:textId="4B7B22EE" w:rsidR="00F66AF5" w:rsidRDefault="00F66AF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4DF7E9EA" w14:textId="77777777" w:rsidR="00490A18" w:rsidRPr="001744DE" w:rsidRDefault="00490A18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F86291E" w14:textId="27BB2698" w:rsidR="00155E5D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obrazac Obveze</w:t>
            </w:r>
          </w:p>
          <w:p w14:paraId="459566DE" w14:textId="70E54724" w:rsidR="00F14D29" w:rsidRPr="001744DE" w:rsidRDefault="00924461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E367E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Šifra V006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Stanje obveza na 31.12.202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="000E0FBE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iznosi 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153.233,93 eura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toga se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116.893,88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odnosi na obveze za zaposlene za plaću 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od kojih se većina 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proračuna. </w:t>
            </w:r>
          </w:p>
          <w:p w14:paraId="5ACA5646" w14:textId="0B7E872F" w:rsidR="00F14D29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Obveze prema dobavljačima iznose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23.</w:t>
            </w:r>
            <w:r w:rsidR="005632E3">
              <w:rPr>
                <w:rFonts w:ascii="Calibri" w:hAnsi="Calibri" w:cs="Calibri"/>
                <w:color w:val="000000"/>
                <w:sz w:val="18"/>
                <w:szCs w:val="20"/>
              </w:rPr>
              <w:t>168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,70 eura, a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podmiruju se prema valuti dospijeća. </w:t>
            </w:r>
          </w:p>
          <w:p w14:paraId="1751F558" w14:textId="727B300E" w:rsidR="00924461" w:rsidRPr="001744DE" w:rsidRDefault="00924461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Obveze za povrat u proračun 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1.322,95 eura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(HZZO)</w:t>
            </w:r>
            <w:r w:rsidR="004574E8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68CFD837" w14:textId="78FE4264" w:rsidR="00F14D29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Obveze za obračunati PDV iznose 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11.698,40 eura</w:t>
            </w:r>
            <w:r w:rsidR="0080775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D45EB11" w14:textId="33B52C7D" w:rsidR="005632E3" w:rsidRPr="001744DE" w:rsidRDefault="005632E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Obveza za nabavu nefinancijske imovine iznose 150 eura</w:t>
            </w:r>
            <w:r w:rsidR="00C466B3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2F204846" w14:textId="58BBE772" w:rsidR="00F14D29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Nema dospjelih obveza a sve nedospjele obveze će biti podmirene u siječnju 202</w:t>
            </w:r>
            <w:r w:rsidR="003570B8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="0080775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D90CB99" w14:textId="46DF8EAA" w:rsidR="00BF0EA3" w:rsidRPr="001744DE" w:rsidRDefault="00BF0EA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65CBD39" w14:textId="1F1FE7F4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145E262" w14:textId="14C900C3" w:rsidR="0043515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 xml:space="preserve">U Zagrebu, </w:t>
            </w:r>
            <w:r w:rsidR="00BB030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="00EE367E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.01.202</w:t>
            </w:r>
            <w:r w:rsidR="00FB6B32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4574E8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godine</w:t>
            </w:r>
            <w:r w:rsidR="00BA23F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   </w:t>
            </w:r>
            <w:bookmarkStart w:id="0" w:name="_GoBack"/>
            <w:bookmarkEnd w:id="0"/>
          </w:p>
          <w:p w14:paraId="1931019E" w14:textId="0817BE2D" w:rsidR="00550D37" w:rsidRDefault="00550D37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1E78B88" w14:textId="77777777" w:rsidR="00550D37" w:rsidRPr="001744DE" w:rsidRDefault="00550D37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4C2B957B" w14:textId="623B847C" w:rsidR="00B21CC3" w:rsidRPr="001744DE" w:rsidRDefault="00B21CC3" w:rsidP="007A6DE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A33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A30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E1A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14D29" w:rsidRPr="001744DE" w14:paraId="43DEDA31" w14:textId="77777777" w:rsidTr="005076F5">
        <w:trPr>
          <w:gridAfter w:val="10"/>
          <w:wAfter w:w="13671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181C" w14:textId="77777777" w:rsidR="00F14D29" w:rsidRPr="001744DE" w:rsidRDefault="00F14D29" w:rsidP="00155E5D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1444D34A" w14:textId="77777777" w:rsidR="007A6DE6" w:rsidRPr="001744DE" w:rsidRDefault="007A6DE6" w:rsidP="00550D37">
      <w:pPr>
        <w:jc w:val="both"/>
        <w:rPr>
          <w:rFonts w:ascii="Calibri" w:hAnsi="Calibri" w:cs="Calibri"/>
          <w:color w:val="000000"/>
          <w:sz w:val="18"/>
          <w:szCs w:val="20"/>
        </w:rPr>
      </w:pPr>
    </w:p>
    <w:sectPr w:rsidR="007A6DE6" w:rsidRPr="001744DE" w:rsidSect="000133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F7C"/>
    <w:multiLevelType w:val="hybridMultilevel"/>
    <w:tmpl w:val="CFFA4F72"/>
    <w:lvl w:ilvl="0" w:tplc="D0560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97D"/>
    <w:multiLevelType w:val="multilevel"/>
    <w:tmpl w:val="140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F2B3C"/>
    <w:multiLevelType w:val="multilevel"/>
    <w:tmpl w:val="966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75E7E"/>
    <w:multiLevelType w:val="multilevel"/>
    <w:tmpl w:val="94A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66A3A"/>
    <w:multiLevelType w:val="multilevel"/>
    <w:tmpl w:val="0C6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C69ED"/>
    <w:multiLevelType w:val="multilevel"/>
    <w:tmpl w:val="D89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19E3"/>
    <w:multiLevelType w:val="hybridMultilevel"/>
    <w:tmpl w:val="7ED09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5AE5"/>
    <w:multiLevelType w:val="multilevel"/>
    <w:tmpl w:val="BB8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27CCB"/>
    <w:multiLevelType w:val="multilevel"/>
    <w:tmpl w:val="956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20929"/>
    <w:multiLevelType w:val="multilevel"/>
    <w:tmpl w:val="2A6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85453"/>
    <w:multiLevelType w:val="multilevel"/>
    <w:tmpl w:val="587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81366"/>
    <w:multiLevelType w:val="multilevel"/>
    <w:tmpl w:val="D77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11BE0"/>
    <w:multiLevelType w:val="multilevel"/>
    <w:tmpl w:val="08C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48D3"/>
    <w:multiLevelType w:val="multilevel"/>
    <w:tmpl w:val="1A4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83757"/>
    <w:multiLevelType w:val="hybridMultilevel"/>
    <w:tmpl w:val="2D128068"/>
    <w:lvl w:ilvl="0" w:tplc="33140C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77053"/>
    <w:multiLevelType w:val="multilevel"/>
    <w:tmpl w:val="B9E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01411"/>
    <w:multiLevelType w:val="multilevel"/>
    <w:tmpl w:val="281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F36B7"/>
    <w:multiLevelType w:val="hybridMultilevel"/>
    <w:tmpl w:val="4324509A"/>
    <w:lvl w:ilvl="0" w:tplc="180E56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7"/>
    <w:rsid w:val="000110F3"/>
    <w:rsid w:val="00013386"/>
    <w:rsid w:val="00020A13"/>
    <w:rsid w:val="00056CD2"/>
    <w:rsid w:val="0008148E"/>
    <w:rsid w:val="0008480B"/>
    <w:rsid w:val="000A38CB"/>
    <w:rsid w:val="000B44BE"/>
    <w:rsid w:val="000C0AB5"/>
    <w:rsid w:val="000C3296"/>
    <w:rsid w:val="000D40D1"/>
    <w:rsid w:val="000D6733"/>
    <w:rsid w:val="000E0FBE"/>
    <w:rsid w:val="000F1CA7"/>
    <w:rsid w:val="000F1EB9"/>
    <w:rsid w:val="00102EB4"/>
    <w:rsid w:val="001104D0"/>
    <w:rsid w:val="0012527E"/>
    <w:rsid w:val="00155E5D"/>
    <w:rsid w:val="001649B9"/>
    <w:rsid w:val="00172E65"/>
    <w:rsid w:val="001744DE"/>
    <w:rsid w:val="00184D8B"/>
    <w:rsid w:val="0019238D"/>
    <w:rsid w:val="001A0E59"/>
    <w:rsid w:val="001A29FF"/>
    <w:rsid w:val="001C7304"/>
    <w:rsid w:val="001D1E34"/>
    <w:rsid w:val="001F2B7A"/>
    <w:rsid w:val="001F6313"/>
    <w:rsid w:val="00200D3B"/>
    <w:rsid w:val="002113EC"/>
    <w:rsid w:val="002170BF"/>
    <w:rsid w:val="00230BA3"/>
    <w:rsid w:val="002418AD"/>
    <w:rsid w:val="00242BCA"/>
    <w:rsid w:val="00276A1E"/>
    <w:rsid w:val="00277C43"/>
    <w:rsid w:val="00280AF3"/>
    <w:rsid w:val="00282ABF"/>
    <w:rsid w:val="00291CAA"/>
    <w:rsid w:val="00291F81"/>
    <w:rsid w:val="002A1DBC"/>
    <w:rsid w:val="002A24C5"/>
    <w:rsid w:val="002B5075"/>
    <w:rsid w:val="002D49C0"/>
    <w:rsid w:val="002D4CDF"/>
    <w:rsid w:val="002D612B"/>
    <w:rsid w:val="002F5412"/>
    <w:rsid w:val="00304E6C"/>
    <w:rsid w:val="00337CCA"/>
    <w:rsid w:val="00344794"/>
    <w:rsid w:val="003570B8"/>
    <w:rsid w:val="00362375"/>
    <w:rsid w:val="003A2F9C"/>
    <w:rsid w:val="003A3F55"/>
    <w:rsid w:val="003E6615"/>
    <w:rsid w:val="003F7513"/>
    <w:rsid w:val="00426A1C"/>
    <w:rsid w:val="0043515E"/>
    <w:rsid w:val="00436B88"/>
    <w:rsid w:val="00443DF0"/>
    <w:rsid w:val="004574E8"/>
    <w:rsid w:val="00475832"/>
    <w:rsid w:val="00490A18"/>
    <w:rsid w:val="004A7604"/>
    <w:rsid w:val="004B258E"/>
    <w:rsid w:val="004B50D3"/>
    <w:rsid w:val="004E5DF0"/>
    <w:rsid w:val="004E7A91"/>
    <w:rsid w:val="004F6EFC"/>
    <w:rsid w:val="005076F5"/>
    <w:rsid w:val="005164D3"/>
    <w:rsid w:val="00524D59"/>
    <w:rsid w:val="00536236"/>
    <w:rsid w:val="00547A94"/>
    <w:rsid w:val="00550D37"/>
    <w:rsid w:val="005632E3"/>
    <w:rsid w:val="00570E33"/>
    <w:rsid w:val="0057217E"/>
    <w:rsid w:val="00587D37"/>
    <w:rsid w:val="005A2B76"/>
    <w:rsid w:val="005A5E6B"/>
    <w:rsid w:val="005A7F41"/>
    <w:rsid w:val="005C5567"/>
    <w:rsid w:val="005D5939"/>
    <w:rsid w:val="006028F5"/>
    <w:rsid w:val="00614185"/>
    <w:rsid w:val="006165B9"/>
    <w:rsid w:val="0062690D"/>
    <w:rsid w:val="006414EE"/>
    <w:rsid w:val="00660DDE"/>
    <w:rsid w:val="00694244"/>
    <w:rsid w:val="006F5A6B"/>
    <w:rsid w:val="006F5E26"/>
    <w:rsid w:val="0070703B"/>
    <w:rsid w:val="007224F8"/>
    <w:rsid w:val="00750006"/>
    <w:rsid w:val="007636DE"/>
    <w:rsid w:val="007764AA"/>
    <w:rsid w:val="007A6DE6"/>
    <w:rsid w:val="007F2C30"/>
    <w:rsid w:val="007F2C4A"/>
    <w:rsid w:val="00806324"/>
    <w:rsid w:val="008071E5"/>
    <w:rsid w:val="00807752"/>
    <w:rsid w:val="00830A8C"/>
    <w:rsid w:val="00840113"/>
    <w:rsid w:val="008625A5"/>
    <w:rsid w:val="00873BD6"/>
    <w:rsid w:val="00881F79"/>
    <w:rsid w:val="008D1900"/>
    <w:rsid w:val="008D30D7"/>
    <w:rsid w:val="008E4159"/>
    <w:rsid w:val="0090137A"/>
    <w:rsid w:val="00915847"/>
    <w:rsid w:val="00920370"/>
    <w:rsid w:val="00924461"/>
    <w:rsid w:val="009402DF"/>
    <w:rsid w:val="00945E73"/>
    <w:rsid w:val="00951529"/>
    <w:rsid w:val="00973ECB"/>
    <w:rsid w:val="009A5407"/>
    <w:rsid w:val="009C392A"/>
    <w:rsid w:val="009F433B"/>
    <w:rsid w:val="00A61829"/>
    <w:rsid w:val="00A645D7"/>
    <w:rsid w:val="00A967A1"/>
    <w:rsid w:val="00AA04A1"/>
    <w:rsid w:val="00AB0A1C"/>
    <w:rsid w:val="00AC5F86"/>
    <w:rsid w:val="00AE6EC4"/>
    <w:rsid w:val="00AE7E30"/>
    <w:rsid w:val="00B050F4"/>
    <w:rsid w:val="00B1116F"/>
    <w:rsid w:val="00B171A1"/>
    <w:rsid w:val="00B171D2"/>
    <w:rsid w:val="00B21CC3"/>
    <w:rsid w:val="00B250F9"/>
    <w:rsid w:val="00B4094B"/>
    <w:rsid w:val="00BA1D90"/>
    <w:rsid w:val="00BA23FA"/>
    <w:rsid w:val="00BA60C6"/>
    <w:rsid w:val="00BB0303"/>
    <w:rsid w:val="00BB0CB8"/>
    <w:rsid w:val="00BB70B5"/>
    <w:rsid w:val="00BF0EA3"/>
    <w:rsid w:val="00C0178C"/>
    <w:rsid w:val="00C40848"/>
    <w:rsid w:val="00C466B3"/>
    <w:rsid w:val="00C617C6"/>
    <w:rsid w:val="00C64891"/>
    <w:rsid w:val="00C8250B"/>
    <w:rsid w:val="00C83981"/>
    <w:rsid w:val="00C87097"/>
    <w:rsid w:val="00C93C6D"/>
    <w:rsid w:val="00CB7091"/>
    <w:rsid w:val="00CC54AD"/>
    <w:rsid w:val="00CC591B"/>
    <w:rsid w:val="00CE2254"/>
    <w:rsid w:val="00CE60A2"/>
    <w:rsid w:val="00CE70AE"/>
    <w:rsid w:val="00CF7E77"/>
    <w:rsid w:val="00D4233E"/>
    <w:rsid w:val="00D811F0"/>
    <w:rsid w:val="00D85C96"/>
    <w:rsid w:val="00D868E4"/>
    <w:rsid w:val="00D94C0F"/>
    <w:rsid w:val="00DA710A"/>
    <w:rsid w:val="00DC18CC"/>
    <w:rsid w:val="00DD27BA"/>
    <w:rsid w:val="00DF243F"/>
    <w:rsid w:val="00E06A40"/>
    <w:rsid w:val="00E21507"/>
    <w:rsid w:val="00E25ED4"/>
    <w:rsid w:val="00E27CC7"/>
    <w:rsid w:val="00E4652B"/>
    <w:rsid w:val="00E63D6C"/>
    <w:rsid w:val="00E951D3"/>
    <w:rsid w:val="00EB1054"/>
    <w:rsid w:val="00EC4722"/>
    <w:rsid w:val="00ED4CF1"/>
    <w:rsid w:val="00EE367E"/>
    <w:rsid w:val="00EF19E9"/>
    <w:rsid w:val="00EF24A1"/>
    <w:rsid w:val="00F0174A"/>
    <w:rsid w:val="00F038BD"/>
    <w:rsid w:val="00F0681D"/>
    <w:rsid w:val="00F14D29"/>
    <w:rsid w:val="00F15764"/>
    <w:rsid w:val="00F15DCF"/>
    <w:rsid w:val="00F61C62"/>
    <w:rsid w:val="00F66AF5"/>
    <w:rsid w:val="00F70B7A"/>
    <w:rsid w:val="00F7286D"/>
    <w:rsid w:val="00F82723"/>
    <w:rsid w:val="00F977E5"/>
    <w:rsid w:val="00FA437E"/>
    <w:rsid w:val="00FA58C1"/>
    <w:rsid w:val="00FB6B32"/>
    <w:rsid w:val="00FC1AEF"/>
    <w:rsid w:val="00FC4CBE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390"/>
  <w15:docId w15:val="{6A33D778-22B8-4F89-A960-8C1AD37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211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D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0F1E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28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86D"/>
    <w:rPr>
      <w:i/>
      <w:iCs/>
    </w:rPr>
  </w:style>
  <w:style w:type="character" w:styleId="Strong">
    <w:name w:val="Strong"/>
    <w:basedOn w:val="DefaultParagraphFont"/>
    <w:uiPriority w:val="22"/>
    <w:qFormat/>
    <w:rsid w:val="00F728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13E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uthor">
    <w:name w:val="author"/>
    <w:basedOn w:val="DefaultParagraphFont"/>
    <w:rsid w:val="002113EC"/>
  </w:style>
  <w:style w:type="character" w:styleId="Hyperlink">
    <w:name w:val="Hyperlink"/>
    <w:basedOn w:val="DefaultParagraphFont"/>
    <w:uiPriority w:val="99"/>
    <w:unhideWhenUsed/>
    <w:rsid w:val="002113EC"/>
    <w:rPr>
      <w:color w:val="0000FF"/>
      <w:u w:val="single"/>
    </w:rPr>
  </w:style>
  <w:style w:type="paragraph" w:customStyle="1" w:styleId="essbitem">
    <w:name w:val="essb_item"/>
    <w:basedOn w:val="Normal"/>
    <w:rsid w:val="002113EC"/>
    <w:pPr>
      <w:spacing w:before="100" w:beforeAutospacing="1" w:after="100" w:afterAutospacing="1"/>
    </w:pPr>
  </w:style>
  <w:style w:type="character" w:customStyle="1" w:styleId="essbnetworkname">
    <w:name w:val="essb_network_name"/>
    <w:basedOn w:val="DefaultParagraphFont"/>
    <w:rsid w:val="002113EC"/>
  </w:style>
  <w:style w:type="paragraph" w:customStyle="1" w:styleId="has-background">
    <w:name w:val="has-background"/>
    <w:basedOn w:val="Normal"/>
    <w:rsid w:val="002113E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2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D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73BD6"/>
    <w:rPr>
      <w:color w:val="605E5C"/>
      <w:shd w:val="clear" w:color="auto" w:fill="E1DFDD"/>
    </w:rPr>
  </w:style>
  <w:style w:type="character" w:customStyle="1" w:styleId="social">
    <w:name w:val="social"/>
    <w:basedOn w:val="DefaultParagraphFont"/>
    <w:rsid w:val="003A2F9C"/>
  </w:style>
  <w:style w:type="character" w:customStyle="1" w:styleId="midas-itw-header-text">
    <w:name w:val="midas-itw-header-text"/>
    <w:basedOn w:val="DefaultParagraphFont"/>
    <w:rsid w:val="003A2F9C"/>
  </w:style>
  <w:style w:type="paragraph" w:customStyle="1" w:styleId="midas-itw-list-item">
    <w:name w:val="midas-itw-list-item"/>
    <w:basedOn w:val="Normal"/>
    <w:rsid w:val="003A2F9C"/>
    <w:pPr>
      <w:spacing w:before="100" w:beforeAutospacing="1" w:after="100" w:afterAutospacing="1"/>
    </w:pPr>
  </w:style>
  <w:style w:type="character" w:customStyle="1" w:styleId="midas-itw-text">
    <w:name w:val="midas-itw-text"/>
    <w:basedOn w:val="DefaultParagraphFont"/>
    <w:rsid w:val="003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244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0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2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673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5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9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2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311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8BEB-C942-4655-B87D-68845A67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Lukić</dc:creator>
  <cp:lastModifiedBy>mpavicin</cp:lastModifiedBy>
  <cp:revision>15</cp:revision>
  <cp:lastPrinted>2016-10-04T09:33:00Z</cp:lastPrinted>
  <dcterms:created xsi:type="dcterms:W3CDTF">2023-01-30T12:18:00Z</dcterms:created>
  <dcterms:modified xsi:type="dcterms:W3CDTF">2024-01-31T09:53:00Z</dcterms:modified>
</cp:coreProperties>
</file>