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6428" w14:textId="5AFF9469" w:rsidR="00ED4F8E" w:rsidRPr="005F7C22" w:rsidRDefault="00ED4F8E" w:rsidP="00ED4F8E">
      <w:pPr>
        <w:keepNext/>
        <w:spacing w:before="480" w:after="240" w:line="240" w:lineRule="auto"/>
        <w:ind w:left="357" w:hanging="35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hr-HR" w:eastAsia="x-none"/>
        </w:rPr>
      </w:pPr>
      <w:bookmarkStart w:id="0" w:name="_Toc19811060"/>
      <w:r w:rsidRPr="005F7C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hr-HR" w:eastAsia="x-none"/>
        </w:rPr>
        <w:t>22621 INSTITUT ZA RAZVOJ I MEĐUNARODNE ODNOSE</w:t>
      </w:r>
      <w:r w:rsidR="000062B4" w:rsidRPr="005F7C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hr-HR" w:eastAsia="x-none"/>
        </w:rPr>
        <w:t xml:space="preserve"> (IRMO)</w:t>
      </w:r>
    </w:p>
    <w:p w14:paraId="19ED59C3" w14:textId="1D91FD9E" w:rsidR="002A5A13" w:rsidRPr="005F7C22" w:rsidRDefault="002A5A13" w:rsidP="00ED4F8E">
      <w:pPr>
        <w:keepNext/>
        <w:spacing w:before="480" w:after="240" w:line="240" w:lineRule="auto"/>
        <w:ind w:left="357" w:hanging="35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hr-HR" w:eastAsia="x-none"/>
        </w:rPr>
      </w:pPr>
      <w:r w:rsidRPr="005F7C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hr-HR" w:eastAsia="x-none"/>
        </w:rPr>
        <w:t xml:space="preserve">Obrazloženje općeg dijela financijskog plana </w:t>
      </w:r>
    </w:p>
    <w:p w14:paraId="10E351B0" w14:textId="77777777" w:rsidR="00ED4F8E" w:rsidRPr="005F7C22" w:rsidRDefault="00ED4F8E" w:rsidP="00ED4F8E">
      <w:pPr>
        <w:keepNext/>
        <w:spacing w:before="480" w:after="240" w:line="240" w:lineRule="auto"/>
        <w:ind w:left="357" w:hanging="35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hr-HR" w:eastAsia="x-none"/>
        </w:rPr>
      </w:pPr>
      <w:r w:rsidRPr="005F7C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hr-HR" w:eastAsia="x-none"/>
        </w:rPr>
        <w:t>UVOD - sažetak djelokruga rada ustanove u znanosti</w:t>
      </w:r>
      <w:bookmarkEnd w:id="0"/>
    </w:p>
    <w:p w14:paraId="7BC189DA" w14:textId="77777777" w:rsidR="00ED4F8E" w:rsidRPr="005F7C22" w:rsidRDefault="00ED4F8E" w:rsidP="00ED4F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u w:val="single"/>
          <w:lang w:val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IRMO provodi znanstvena teorijska i primijenjena istraživanja u području društvenih znanosti (polje ekonomija, politologija i sociologija), a prema sadržaju i temama podržanim od strane Ministarstva znanosti i obrazovanja (MZO) Republike Hrvatske (RH).</w:t>
      </w:r>
    </w:p>
    <w:p w14:paraId="4AD263E2" w14:textId="77777777" w:rsidR="00ED4F8E" w:rsidRPr="005F7C22" w:rsidRDefault="00ED4F8E" w:rsidP="00ED4F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Glavna područja znanstvenih teorijskih i primijenjenih istraživanja IRMO-a obuhvaćaju  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znanstvena teorijska i primijenjena istraživanja suvremenih međunarodnih ekonomskih, političkih i kulturnih odnosa i suradnje za održivi razvoj od interesa za razvoj Hrvatske.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Istraživanja se provode sukladno trima temeljnim programskim linijama kroz sedam zasebnih tema.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ED4F8E" w:rsidRPr="005F7C22" w14:paraId="7962CBBA" w14:textId="77777777" w:rsidTr="00C56A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EC054" w14:textId="77777777" w:rsidR="00ED4F8E" w:rsidRPr="005F7C22" w:rsidRDefault="00ED4F8E" w:rsidP="00ED4F8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LINIJE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50738" w14:textId="77777777" w:rsidR="00ED4F8E" w:rsidRPr="005F7C22" w:rsidRDefault="00ED4F8E" w:rsidP="00ED4F8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TEME</w:t>
            </w:r>
          </w:p>
        </w:tc>
      </w:tr>
      <w:tr w:rsidR="00ED4F8E" w:rsidRPr="005F7C22" w14:paraId="14159C57" w14:textId="77777777" w:rsidTr="00C56A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D59" w14:textId="77777777" w:rsidR="00ED4F8E" w:rsidRPr="005F7C22" w:rsidRDefault="00ED4F8E" w:rsidP="00ED4F8E">
            <w:pPr>
              <w:spacing w:before="40" w:after="40" w:line="240" w:lineRule="auto"/>
              <w:ind w:left="31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1. Međunarodni okviri gospodarskog razvoja i suradnje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60F" w14:textId="77777777" w:rsidR="00ED4F8E" w:rsidRPr="005F7C22" w:rsidRDefault="00ED4F8E" w:rsidP="00ED4F8E">
            <w:pPr>
              <w:spacing w:before="40" w:after="4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1.1. </w:t>
            </w:r>
            <w:r w:rsidR="00845FE1"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ntegracije</w:t>
            </w:r>
            <w:r w:rsidR="000062B4"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Eur</w:t>
            </w:r>
            <w:r w:rsidR="009129A0"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opske unije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129A0"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(EU) 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 inicijative regionalne suradnje</w:t>
            </w:r>
          </w:p>
          <w:p w14:paraId="58278869" w14:textId="77777777" w:rsidR="00ED4F8E" w:rsidRPr="005F7C22" w:rsidRDefault="00ED4F8E" w:rsidP="00ED4F8E">
            <w:pPr>
              <w:spacing w:before="40" w:after="4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1.2. Kohezijska politika Europske unije i okolišni aspekti razvoja Republike Hrvatske</w:t>
            </w:r>
          </w:p>
          <w:p w14:paraId="7FA9119C" w14:textId="77777777" w:rsidR="00ED4F8E" w:rsidRPr="005F7C22" w:rsidRDefault="00ED4F8E" w:rsidP="00ED4F8E">
            <w:pPr>
              <w:spacing w:before="40" w:after="40" w:line="240" w:lineRule="auto"/>
              <w:ind w:left="459" w:hanging="459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1.3. Aspekti restrukturiranja gospodarstva i konkurentnost</w:t>
            </w:r>
          </w:p>
        </w:tc>
      </w:tr>
      <w:tr w:rsidR="00ED4F8E" w:rsidRPr="005F7C22" w14:paraId="5D44A0CA" w14:textId="77777777" w:rsidTr="00C56A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6317" w14:textId="77777777" w:rsidR="00ED4F8E" w:rsidRPr="005F7C22" w:rsidRDefault="00ED4F8E" w:rsidP="00ED4F8E">
            <w:pPr>
              <w:spacing w:before="40" w:after="40" w:line="240" w:lineRule="auto"/>
              <w:ind w:left="31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 Međunarodni okviri razvoja kulture i komunikacije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6A5" w14:textId="77777777" w:rsidR="00ED4F8E" w:rsidRPr="005F7C22" w:rsidRDefault="00ED4F8E" w:rsidP="00ED4F8E">
            <w:pPr>
              <w:spacing w:before="40" w:after="4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2.1. Globalni utjecaji i lokalne kulturne promjene</w:t>
            </w:r>
          </w:p>
          <w:p w14:paraId="7D98781B" w14:textId="77777777" w:rsidR="00ED4F8E" w:rsidRPr="005F7C22" w:rsidRDefault="00ED4F8E" w:rsidP="00ED4F8E">
            <w:pPr>
              <w:spacing w:before="40" w:after="4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2.2. Komunikacijska i medijska obilježja suvremenih društvenih procesa</w:t>
            </w:r>
          </w:p>
        </w:tc>
      </w:tr>
      <w:tr w:rsidR="00ED4F8E" w:rsidRPr="005F7C22" w14:paraId="10373D49" w14:textId="77777777" w:rsidTr="00C56A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3E53" w14:textId="77777777" w:rsidR="00ED4F8E" w:rsidRPr="005F7C22" w:rsidRDefault="00ED4F8E" w:rsidP="00ED4F8E">
            <w:pPr>
              <w:spacing w:before="40" w:after="40" w:line="240" w:lineRule="auto"/>
              <w:ind w:left="31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3. Međunarodni politički odnosi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0EF" w14:textId="77777777" w:rsidR="00ED4F8E" w:rsidRPr="005F7C22" w:rsidRDefault="00ED4F8E" w:rsidP="00ED4F8E">
            <w:pPr>
              <w:spacing w:before="40" w:after="4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3.1. Hrvatska u odnosu na globalne i regionalne političke izazove</w:t>
            </w:r>
          </w:p>
          <w:p w14:paraId="0D4E4EF1" w14:textId="77777777" w:rsidR="00ED4F8E" w:rsidRPr="005F7C22" w:rsidRDefault="00ED4F8E" w:rsidP="00ED4F8E">
            <w:pPr>
              <w:spacing w:before="40" w:after="4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3.2. Aspekti nacionalne sigurnosti</w:t>
            </w:r>
          </w:p>
        </w:tc>
      </w:tr>
    </w:tbl>
    <w:p w14:paraId="3236C2CE" w14:textId="6E235A6F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F7C2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Teorijska i primijenjena znanstvena istraživanja koja provodi IRMO odvijaju se kroz 5 organizacijskih cjelina - 4 znanstvena odjela (Odjel europskih integracija, Odjel resursne ekonomije, zaštite okoliša i regionalnog razvoja, Odjel međunarodnih gospodarskih i političkih odnosa i Odjel kulture i komunikacije) i rad službi podrške. </w:t>
      </w:r>
    </w:p>
    <w:p w14:paraId="665B5BBB" w14:textId="69FFAF99" w:rsidR="002A5A13" w:rsidRPr="005F7C22" w:rsidRDefault="00E336F6" w:rsidP="00E336F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Trenutačno je u IRMO-u </w:t>
      </w:r>
      <w:r w:rsidRPr="009D2320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zaposlen 4</w:t>
      </w:r>
      <w:r w:rsidR="004E68F7" w:rsidRPr="009D2320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4</w:t>
      </w:r>
      <w:r w:rsidRPr="009D2320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djelatnik</w:t>
      </w:r>
      <w:r w:rsidR="00670584" w:rsidRPr="009D2320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</w:t>
      </w:r>
      <w:r w:rsidRPr="009D2320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4E68F7" w:rsidRPr="009D2320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32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670584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djelatnika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zaposlena </w:t>
      </w:r>
      <w:r w:rsidR="00670584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su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na istraživačkim radnim mjestima. Od navedenih istraživačkih radnih mjesta,</w:t>
      </w:r>
      <w:r w:rsidR="002A5A13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dva se radna mjesta asistenta financiraju iz sredstava Hrvatske zaklade za znanost. Poslove stručnih službi (tajništvo, knjižnica i dokumentacija, financije i računovodstvo) obavlja </w:t>
      </w:r>
      <w:r w:rsidRPr="00871A6C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1</w:t>
      </w:r>
      <w:r w:rsidR="00871A6C" w:rsidRPr="00871A6C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1 </w:t>
      </w:r>
      <w:r w:rsidRPr="00871A6C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dj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elatnika. </w:t>
      </w:r>
    </w:p>
    <w:p w14:paraId="102DDE85" w14:textId="7B78F2D2" w:rsidR="00E336F6" w:rsidRPr="005F7C22" w:rsidRDefault="00E336F6" w:rsidP="00E336F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idućem trogodišnjem razdoblju očekuj</w:t>
      </w:r>
      <w:r w:rsidR="002A5A13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e se povećanje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ukupnog broja djelatnika.</w:t>
      </w:r>
    </w:p>
    <w:p w14:paraId="5D513A13" w14:textId="77777777" w:rsidR="00E336F6" w:rsidRPr="005F7C22" w:rsidRDefault="00E336F6" w:rsidP="00ED4F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9DC35E5" w14:textId="77777777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hr-HR" w:eastAsia="en-GB"/>
        </w:rPr>
      </w:pPr>
    </w:p>
    <w:p w14:paraId="100C82F6" w14:textId="6B3E9D5E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hr-HR" w:eastAsia="en-GB"/>
        </w:rPr>
      </w:pPr>
      <w:r w:rsidRPr="005F7C22">
        <w:rPr>
          <w:rFonts w:ascii="Times New Roman" w:eastAsia="Calibri" w:hAnsi="Times New Roman" w:cs="Times New Roman"/>
          <w:b/>
          <w:sz w:val="24"/>
          <w:szCs w:val="24"/>
          <w:u w:val="single"/>
          <w:lang w:val="hr-HR" w:eastAsia="en-GB"/>
        </w:rPr>
        <w:t>Interni znanstveni projekti</w:t>
      </w:r>
    </w:p>
    <w:p w14:paraId="4676B3C9" w14:textId="46F40F8C" w:rsidR="00D576F1" w:rsidRPr="005F7C22" w:rsidRDefault="00CF6435" w:rsidP="00D576F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en-GB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 w:eastAsia="en-GB"/>
        </w:rPr>
        <w:t>Znanstvena istraživanja u</w:t>
      </w:r>
      <w:r w:rsidR="00374BCD">
        <w:rPr>
          <w:rFonts w:ascii="Times New Roman" w:eastAsia="Calibri" w:hAnsi="Times New Roman" w:cs="Times New Roman"/>
          <w:sz w:val="24"/>
          <w:szCs w:val="24"/>
          <w:lang w:val="hr-HR" w:eastAsia="en-GB"/>
        </w:rPr>
        <w:t>nutar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en-GB"/>
        </w:rPr>
        <w:t xml:space="preserve"> IRMO</w:t>
      </w:r>
      <w:r w:rsidR="00575EB3">
        <w:rPr>
          <w:rFonts w:ascii="Times New Roman" w:eastAsia="Calibri" w:hAnsi="Times New Roman" w:cs="Times New Roman"/>
          <w:sz w:val="24"/>
          <w:szCs w:val="24"/>
          <w:lang w:val="hr-HR" w:eastAsia="en-GB"/>
        </w:rPr>
        <w:t>-</w:t>
      </w:r>
      <w:r w:rsidR="00374BCD">
        <w:rPr>
          <w:rFonts w:ascii="Times New Roman" w:eastAsia="Calibri" w:hAnsi="Times New Roman" w:cs="Times New Roman"/>
          <w:sz w:val="24"/>
          <w:szCs w:val="24"/>
          <w:lang w:val="hr-HR" w:eastAsia="en-GB"/>
        </w:rPr>
        <w:t>a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en-GB"/>
        </w:rPr>
        <w:t xml:space="preserve"> u narednom razdoblju provodit će se kroz četiri interna znanstvena projekta koji su opisani u nastavku. </w:t>
      </w:r>
    </w:p>
    <w:p w14:paraId="3E41F0BF" w14:textId="77777777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lastRenderedPageBreak/>
        <w:t>Bit i boje održivog regionalnog razvoja u Republici Hrvatskoj (BORE)</w:t>
      </w:r>
    </w:p>
    <w:p w14:paraId="02BDA63C" w14:textId="4628860B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bookmarkStart w:id="1" w:name="_Hlk154569170"/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Voditeljica projekta:  dr.</w:t>
      </w:r>
      <w:r w:rsidR="00374BCD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sc. Sanja Maleković</w:t>
      </w:r>
    </w:p>
    <w:bookmarkEnd w:id="1"/>
    <w:p w14:paraId="5AD29E96" w14:textId="741933B8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U okviru projekta kontinuirano će se pratiti recentna znanstvena istraživanja i ostvarivanje održivog razvoja kroz okolišnu, gospodarsku, društvenu i kulturnu dimenziju na globalnoj i nacionalnoj razini. Podizat će se razumijevanje i znanja o novim razvojnim temama u društvu i gospodarstvu</w:t>
      </w:r>
      <w:r w:rsidR="00846738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,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a koje su relevantne za održivi regionalni razvoj Hrvatske. Time će se pridonijeti usvajanju i </w:t>
      </w:r>
      <w:r w:rsidR="00912ECF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praktičnoj 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primjeni novih pristupa i koncepata s ciljem omogućavanja promptnih znanstveno-istraživačkih odgovora na ključne promjene relevantne za održivi okoliš, društveni i gospodarski lokalni i regionalni razvoj</w:t>
      </w:r>
      <w:r w:rsidR="00912ECF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,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te održivi razvoj kroz kulturu.</w:t>
      </w:r>
    </w:p>
    <w:p w14:paraId="3A273686" w14:textId="77777777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0D637645" w14:textId="77777777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 xml:space="preserve">Utjecaji europskih politika na </w:t>
      </w:r>
      <w:proofErr w:type="spellStart"/>
      <w:r w:rsidRPr="005F7C22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socio</w:t>
      </w:r>
      <w:proofErr w:type="spellEnd"/>
      <w:r w:rsidRPr="005F7C22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-ekonomski razvoj i javne politike u Hrvatskoj (EUROIMPACT)</w:t>
      </w:r>
    </w:p>
    <w:p w14:paraId="3BBCE266" w14:textId="589CAE04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Voditelj projekta:  dr.</w:t>
      </w:r>
      <w:r w:rsidR="00A03A30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sc. Jakša Puljiz </w:t>
      </w:r>
    </w:p>
    <w:p w14:paraId="267918EC" w14:textId="4E02909F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Kohezijska politika najvažnija je investicijska politika Europske unije</w:t>
      </w:r>
      <w:r w:rsidR="00612FED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,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koja svojim djelovanjem uvelike utječe na obrasce </w:t>
      </w:r>
      <w:proofErr w:type="spellStart"/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socio</w:t>
      </w:r>
      <w:proofErr w:type="spellEnd"/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-ekonomskog razvoja država članica, a posebice onih slabije razvijenih. </w:t>
      </w:r>
      <w:r w:rsidR="001A4534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Osim 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izravnog doprinosa jačanju investicijskog potencijala država članica, nje</w:t>
      </w:r>
      <w:r w:rsidR="001A4534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zi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n se utjecaj dodatno očituje u promjenama investicijskih politika</w:t>
      </w:r>
      <w:r w:rsidR="001A4534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država članica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u pogledu pristupa planiranju, provedbi i evaluaciji ulaganja te kroz promjene ulagačkog okruženja kao rezultata niza uvjetovanosti koje </w:t>
      </w:r>
      <w:r w:rsidR="007F5284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donosi 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sama kohezijska politika. Predloženi projekt uključuje sustavnu analizu utjecaja kohezijske politike na </w:t>
      </w:r>
      <w:proofErr w:type="spellStart"/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socio</w:t>
      </w:r>
      <w:proofErr w:type="spellEnd"/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-ekonomski razvoj kao i evoluciju politika javnih investicija u novim zemljama članicama. Na taj će način doprinijeti boljem razumijevanju indirektnih utjecaja koje politika ima na države članice EU</w:t>
      </w:r>
      <w:r w:rsidR="00A03A30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-a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. </w:t>
      </w:r>
    </w:p>
    <w:p w14:paraId="09ACC21E" w14:textId="77777777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439FB06C" w14:textId="77777777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Interdisciplinarna istraživanja kulturnih i medijskih politika i praksi: razvojni i demokratski potencijali   (CULTMED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)</w:t>
      </w:r>
    </w:p>
    <w:p w14:paraId="603FE990" w14:textId="1A9EC949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Voditeljica projekta:  dr.</w:t>
      </w:r>
      <w:r w:rsidR="00A03A30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sc. Aleksandra Uzelac </w:t>
      </w:r>
    </w:p>
    <w:p w14:paraId="099726D5" w14:textId="5E13DD24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Projekt CULTMED obuhvaća istraživanja vezana uz razvoj kulture i kulturne politike, medija i medijske politike u Hrvatskoj  te definira lokalno, regionalno, nacionalno, europsko i globalno okružje hrvatske kulture i medija. To uključuje analizu: kulturnih i medijskih politika i strategija u Hrvatskoj i EU</w:t>
      </w:r>
      <w:r w:rsidR="00A03A30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-u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; kulturnih i kreativnih industrija; kulturne baštine kao razvojnog resursa; te ekonomiju kulture i procese donošenja odluka koji uvjetuju pravce kulturnog razvoja. Posebna će se pozornost </w:t>
      </w:r>
      <w:r w:rsidR="009D75D6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posvetiti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ishodišt</w:t>
      </w:r>
      <w:r w:rsidR="009D75D6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im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a i uzro</w:t>
      </w:r>
      <w:r w:rsidR="009D75D6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cima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promjena u kulturnoj i medijskoj politici, kao i zaokret</w:t>
      </w:r>
      <w:r w:rsidR="009D75D6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ima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u konceptima, orijentacijama i paradigmama kulturne i medijske politike koji su u međudjelovanju s drugim javnim politikama, te na njih imaju transverzalni utjecaj. Kroz projekt će se uspostaviti dva centra za istraživanja putem kojih će se provoditi projektne aktivnosti: CULTURELINK i CEMEDIG. </w:t>
      </w:r>
    </w:p>
    <w:p w14:paraId="06B965F7" w14:textId="77777777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11896B22" w14:textId="77777777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b/>
          <w:iCs/>
          <w:sz w:val="24"/>
          <w:szCs w:val="24"/>
          <w:lang w:val="hr-HR"/>
        </w:rPr>
        <w:t>Međunarodni odnosi – odrednice otpornog održivog razvoja  (MO4R)</w:t>
      </w:r>
    </w:p>
    <w:p w14:paraId="5FDFA5E1" w14:textId="75EB91A8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Voditeljica projekta:  dr.</w:t>
      </w:r>
      <w:r w:rsidR="00503B59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sc. Ana-Maria Boromisa </w:t>
      </w:r>
    </w:p>
    <w:p w14:paraId="52B28B6C" w14:textId="70B4CDDE" w:rsidR="00E336F6" w:rsidRPr="005F7C22" w:rsidRDefault="00E336F6" w:rsidP="00E336F6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lastRenderedPageBreak/>
        <w:t>Projekt "Međunarodni odnosi – odrednice otpornog održivog razvoja" (MO4R) usredotočen je na identifikaciju i analizu ekonomskih, političkih, sigurnosnih, kulturnih te ostalih društvenih procesa za ostvarivanje održivog razvoja i jačanje otpornosti Republike Hrvatske u regionalnom i međunarodnom kontekstu. Ključna područja istraživanja odnose se na: (i) stabilnost i sigurnost (ciljevi UN-a za održivi razvoj 9, 11, 16 i 17), (ii) konkurentnost i inovacije (ciljevi 8, 9, 11, 12), te (iii) globalne izazove i međunarodni kontekst (ciljevi 6, 7, 10, 13, 14, 16, 17). U manjoj s</w:t>
      </w:r>
      <w:r w:rsidR="00503B59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u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mjeri obuhvać</w:t>
      </w:r>
      <w:r w:rsidR="00296183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ena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i pitanja vezana za lokalne kulturne, društvene i prirodne resurs</w:t>
      </w:r>
      <w:r w:rsidR="00296183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e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i njihovo korištenje (ciljevi 3, 4, 5, 11, 1). U okviru projekta uspostavit će se Centar za migracijske studije</w:t>
      </w:r>
      <w:r w:rsidR="00CF6435"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. 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Projektne aktivnosti će</w:t>
      </w:r>
      <w:r w:rsidR="00296183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,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uz znanstvena istraživanja</w:t>
      </w:r>
      <w:r w:rsidR="00296183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,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obuhvatiti i diseminaciju i širenje znanja, te popularizaciju znanosti</w:t>
      </w:r>
    </w:p>
    <w:p w14:paraId="7B53F022" w14:textId="77777777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6204B59" w14:textId="634AA2E0" w:rsidR="002A5A13" w:rsidRPr="005F7C22" w:rsidRDefault="00ED4F8E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Financijski plan temelji se na 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Programskom ugovoru koji je IRMO potpisao s </w:t>
      </w:r>
      <w:r w:rsidR="00CF6435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Ministarstvom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znanosti i obrazovanja 8.</w:t>
      </w:r>
      <w:r w:rsidR="0029618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prosinca 2023. godine te </w:t>
      </w:r>
      <w:r w:rsidR="0029618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godišnjem 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planu 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rada IRMO-a za 202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. godinu</w:t>
      </w:r>
      <w:r w:rsidR="002A5A13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</w:t>
      </w:r>
    </w:p>
    <w:p w14:paraId="5E304182" w14:textId="08A9B7B9" w:rsidR="00ED4F8E" w:rsidRPr="005F7C22" w:rsidRDefault="002A5A13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Ovi dokumenti s</w:t>
      </w:r>
      <w:r w:rsidR="00ED4F8E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adrž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e</w:t>
      </w:r>
      <w:r w:rsidR="00ED4F8E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okvir poslovanja IRMO-a u 20</w:t>
      </w:r>
      <w:r w:rsidR="00B140AA">
        <w:rPr>
          <w:rFonts w:ascii="Times New Roman" w:eastAsia="Calibri" w:hAnsi="Times New Roman" w:cs="Times New Roman"/>
          <w:sz w:val="24"/>
          <w:szCs w:val="24"/>
          <w:lang w:val="hr-HR"/>
        </w:rPr>
        <w:t>25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="00ED4F8E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godini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 mjerljivim </w:t>
      </w:r>
      <w:r w:rsidR="00ED4F8E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pokazatelj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ima</w:t>
      </w:r>
      <w:r w:rsidR="00ED4F8E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vezano </w:t>
      </w:r>
      <w:r w:rsidR="009B5B1C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za</w:t>
      </w:r>
      <w:r w:rsidR="00ED4F8E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ostvarenje 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Programskog ugovora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rezultate </w:t>
      </w:r>
      <w:r w:rsidR="00ED4F8E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znanstvenih istraživanja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38416CC1" w14:textId="77777777" w:rsidR="00E336F6" w:rsidRPr="005F7C22" w:rsidRDefault="00E336F6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C4E0D7C" w14:textId="0640AE6F" w:rsidR="00ED4F8E" w:rsidRPr="005F7C22" w:rsidRDefault="00ED4F8E" w:rsidP="00ED4F8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Strategiji </w:t>
      </w:r>
      <w:r w:rsidR="00E336F6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razvoja 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IRMO-a 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do 2027. godine 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zaposlenici su  oblikovali misiju i viziju</w:t>
      </w:r>
      <w:r w:rsidR="0039679D"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:</w:t>
      </w:r>
    </w:p>
    <w:p w14:paraId="59685883" w14:textId="77777777" w:rsidR="00ED4F8E" w:rsidRPr="005F7C22" w:rsidRDefault="00ED4F8E" w:rsidP="00ED4F8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ED4F8E" w:rsidRPr="005F7C22" w14:paraId="54EFAEA1" w14:textId="77777777" w:rsidTr="00C56AF6">
        <w:tc>
          <w:tcPr>
            <w:tcW w:w="9038" w:type="dxa"/>
            <w:vAlign w:val="center"/>
          </w:tcPr>
          <w:p w14:paraId="13188D35" w14:textId="77777777" w:rsidR="00ED4F8E" w:rsidRPr="005F7C22" w:rsidRDefault="00ED4F8E" w:rsidP="00ED4F8E">
            <w:pPr>
              <w:spacing w:before="120" w:after="12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  <w:t>MISIJA IRMO-a</w:t>
            </w:r>
          </w:p>
          <w:p w14:paraId="2FEDE825" w14:textId="77777777" w:rsidR="00ED4F8E" w:rsidRPr="005F7C22" w:rsidRDefault="00ED4F8E" w:rsidP="00ED4F8E">
            <w:pPr>
              <w:spacing w:before="120" w:after="12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hr-HR" w:eastAsia="hr-HR"/>
              </w:rPr>
              <w:t xml:space="preserve">Razvoj i prijenos </w:t>
            </w:r>
            <w:r w:rsidRPr="005F7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hr-HR" w:eastAsia="hr-HR"/>
              </w:rPr>
              <w:t>znanja i vještina za kompetentnu znanstvenu interpretaciju suvremenih međunarodnih ekonomskih, političkih i kulturnih odnosa i suradnje za održivi razvoj od interesa za razvoj Hrvatske.</w:t>
            </w:r>
          </w:p>
        </w:tc>
      </w:tr>
      <w:tr w:rsidR="00ED4F8E" w:rsidRPr="005F7C22" w14:paraId="2BF181A8" w14:textId="77777777" w:rsidTr="00C56AF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038" w:type="dxa"/>
            <w:vAlign w:val="center"/>
          </w:tcPr>
          <w:p w14:paraId="0A0B3281" w14:textId="77777777" w:rsidR="00ED4F8E" w:rsidRPr="005F7C22" w:rsidRDefault="00ED4F8E" w:rsidP="00ED4F8E">
            <w:pPr>
              <w:spacing w:before="120" w:after="12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  <w:t>Vizija IRMO-a</w:t>
            </w:r>
          </w:p>
          <w:p w14:paraId="6A9D346F" w14:textId="77777777" w:rsidR="00ED4F8E" w:rsidRPr="005F7C22" w:rsidRDefault="00ED4F8E" w:rsidP="00ED4F8E">
            <w:pPr>
              <w:spacing w:before="120" w:after="12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hr-HR" w:eastAsia="hr-HR"/>
              </w:rPr>
              <w:t>IRMO je izvrsna europska znanstveno-istraživačka institucija na području međunarodnih odnosa i suradnje za održivi razvoj.</w:t>
            </w:r>
          </w:p>
        </w:tc>
      </w:tr>
    </w:tbl>
    <w:p w14:paraId="131F7DDF" w14:textId="77777777" w:rsidR="0039679D" w:rsidRPr="005F7C22" w:rsidRDefault="0039679D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A2CA10A" w14:textId="02649672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</w:t>
      </w:r>
      <w:r w:rsidRPr="00503486">
        <w:rPr>
          <w:rFonts w:ascii="Times New Roman" w:eastAsia="Calibri" w:hAnsi="Times New Roman" w:cs="Times New Roman"/>
          <w:sz w:val="24"/>
          <w:szCs w:val="24"/>
          <w:lang w:val="hr-HR"/>
        </w:rPr>
        <w:t>sljedeće tri godine,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IRMO se opredijelio za provedbu</w:t>
      </w:r>
      <w:r w:rsidRPr="005F7C22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znanstvenih teorijskih i primijenjenih istraživanja suvremenih međunarodnih ekonomskih, političkih i kulturnih odnosa i suradnje za održivi razvoj od interesa za razvoj Republike Hrvatske. 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Polazeći od pretpostavke da bi glavni ciljevi znanstvene politike RH trebali biti postavljeni u okvirima europskih politika, IRMO se u </w:t>
      </w:r>
      <w:r w:rsidRPr="00503486">
        <w:rPr>
          <w:rFonts w:ascii="Times New Roman" w:eastAsia="Calibri" w:hAnsi="Times New Roman" w:cs="Times New Roman"/>
          <w:sz w:val="24"/>
          <w:szCs w:val="24"/>
          <w:lang w:val="hr-HR"/>
        </w:rPr>
        <w:t>sljedećem petogodišnjem razdoblju</w:t>
      </w: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opredijelio za veću učinkovitost znanstvenika i primjenjivost znanstvenih istraživanja za razvoj Republike Hrvatske kroz poticanje istraživačkih partnerstava i jačanje sustava potpore mladim istraživačima, snažno povezivanje znanosti i gospodarstva i njihov usklađen razvoj te za intenzivnije sudjelovanje hrvatskih znanstvenika u okvirnim programima Europske unije.</w:t>
      </w:r>
    </w:p>
    <w:p w14:paraId="67EC4910" w14:textId="6EBBC6C0" w:rsidR="00E336F6" w:rsidRPr="005F7C22" w:rsidRDefault="00E336F6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3F0D240" w14:textId="77777777" w:rsidR="007B1A3B" w:rsidRPr="005F7C22" w:rsidRDefault="007B1A3B" w:rsidP="007B1A3B">
      <w:pPr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/>
        </w:rPr>
        <w:t>Nastavno su prikazani institucijski strateški ciljevi i rezultati predviđeni Programskim ugovorom u predstojećem planskom razdoblju programskog financiranja.</w:t>
      </w:r>
    </w:p>
    <w:p w14:paraId="78BEE139" w14:textId="778CDF65" w:rsidR="007B1A3B" w:rsidRPr="005F7C22" w:rsidRDefault="007B1A3B" w:rsidP="007B1A3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F7C22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Tablica: Pokazatelji ostvarenja posebnih ciljeva i projekcije za razdoblje 2024.</w:t>
      </w:r>
      <w:r w:rsidR="0017761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5F7C22">
        <w:rPr>
          <w:rFonts w:ascii="Times New Roman" w:hAnsi="Times New Roman" w:cs="Times New Roman"/>
          <w:b/>
          <w:sz w:val="24"/>
          <w:szCs w:val="24"/>
          <w:lang w:val="hr-HR"/>
        </w:rPr>
        <w:t>-</w:t>
      </w:r>
      <w:r w:rsidR="0017761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5F7C22">
        <w:rPr>
          <w:rFonts w:ascii="Times New Roman" w:hAnsi="Times New Roman" w:cs="Times New Roman"/>
          <w:b/>
          <w:sz w:val="24"/>
          <w:szCs w:val="24"/>
          <w:lang w:val="hr-HR"/>
        </w:rPr>
        <w:t>2027.</w:t>
      </w:r>
    </w:p>
    <w:p w14:paraId="4DD35133" w14:textId="77777777" w:rsidR="007B1A3B" w:rsidRPr="005F7C22" w:rsidRDefault="007B1A3B" w:rsidP="007B1A3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995"/>
        <w:gridCol w:w="802"/>
        <w:gridCol w:w="1406"/>
        <w:gridCol w:w="1231"/>
        <w:gridCol w:w="1231"/>
      </w:tblGrid>
      <w:tr w:rsidR="002A5A13" w:rsidRPr="005F7C22" w14:paraId="7E91BA31" w14:textId="77777777" w:rsidTr="0026513C">
        <w:trPr>
          <w:trHeight w:val="40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DEF75B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Posebni cilj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C43222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Pokazatelj ishoda za strateške ciljeve i rezultata za posebne ciljeve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C3EE30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Izvor podatka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E9564E1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Početna vrijednost</w:t>
            </w:r>
          </w:p>
          <w:p w14:paraId="344BE37B" w14:textId="43071A28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2018.</w:t>
            </w:r>
            <w:r w:rsidR="009217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-</w:t>
            </w:r>
            <w:r w:rsidR="009217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2022.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E62B40F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Vrijednost na ključnoj točki ostvarenja </w:t>
            </w:r>
          </w:p>
          <w:p w14:paraId="0BA27D24" w14:textId="7F8A0A0C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31.</w:t>
            </w:r>
            <w:r w:rsidR="009217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12.</w:t>
            </w:r>
            <w:r w:rsidR="009217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2025.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3A791CF" w14:textId="218655E8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Ciljana vrijednost 2024.</w:t>
            </w:r>
            <w:r w:rsidR="009217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-</w:t>
            </w:r>
            <w:r w:rsidR="0092172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F7C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2027.</w:t>
            </w:r>
          </w:p>
        </w:tc>
      </w:tr>
      <w:tr w:rsidR="002A5A13" w:rsidRPr="005F7C22" w14:paraId="5F589E41" w14:textId="77777777" w:rsidTr="0026513C">
        <w:trPr>
          <w:trHeight w:val="352"/>
        </w:trPr>
        <w:tc>
          <w:tcPr>
            <w:tcW w:w="905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0DDB7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</w:p>
          <w:p w14:paraId="31668F52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Strateški cilj 1: Podizanje znanstvene izvrsnosti</w:t>
            </w:r>
          </w:p>
          <w:p w14:paraId="46950E76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2A5A13" w:rsidRPr="005F7C22" w14:paraId="20E9A01F" w14:textId="77777777" w:rsidTr="0026513C">
        <w:trPr>
          <w:trHeight w:val="1130"/>
        </w:trPr>
        <w:tc>
          <w:tcPr>
            <w:tcW w:w="23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BC1833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1.1. Podizanje sudjelovanja javnih znanstvenih instituta u kompetitivnom projektnom financiranju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94EA4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uspješnih projektnih prijava na kompetitivne izvore financiranja (od čega: ERC, ostali međunarodni programi)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ADBEC" w14:textId="028DD514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Godišnji izvještaj o radu IRMO</w:t>
            </w:r>
            <w:r w:rsidR="00E4252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3A768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FCDF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EAC7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12</w:t>
            </w:r>
          </w:p>
        </w:tc>
      </w:tr>
      <w:tr w:rsidR="002A5A13" w:rsidRPr="005F7C22" w14:paraId="1BFE84FA" w14:textId="77777777" w:rsidTr="0026513C">
        <w:trPr>
          <w:trHeight w:val="1130"/>
        </w:trPr>
        <w:tc>
          <w:tcPr>
            <w:tcW w:w="23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9835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C0604" w14:textId="687028C6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Broj znanstvenih radova u </w:t>
            </w:r>
            <w:r w:rsidR="00743A29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časopisima indeksiranim u 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SCOPUS</w:t>
            </w:r>
            <w:r w:rsidR="00743A29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-u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 </w:t>
            </w:r>
            <w:proofErr w:type="spellStart"/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WoS</w:t>
            </w:r>
            <w:proofErr w:type="spellEnd"/>
            <w:r w:rsidR="00743A29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-u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, ostalim časopisima te međunarodno recenziranim zbornicima i knjigama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9C59" w14:textId="67F4658A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Godišnji izvještaj o radu IRMO</w:t>
            </w:r>
            <w:r w:rsidR="00E4252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DD474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W/S radovi: 65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br/>
              <w:t>Ostali radovi: 9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br/>
              <w:t>Konferencije: 18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br/>
              <w:t>Autorske, uredničke knjige i priručnici: 20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42FB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W/S radovi: 35</w:t>
            </w:r>
          </w:p>
          <w:p w14:paraId="67A24CAE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Ostali radovi: 3</w:t>
            </w:r>
          </w:p>
          <w:p w14:paraId="5864A393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Konferencije: 15</w:t>
            </w:r>
          </w:p>
          <w:p w14:paraId="27E41B9D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Autorske, uredničke knjige i priručnici: 10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2E5F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W/S radovi: 70</w:t>
            </w:r>
          </w:p>
          <w:p w14:paraId="3C73F8A2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Ostali radovi: 5</w:t>
            </w:r>
          </w:p>
          <w:p w14:paraId="48163E16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Konferencije: 30</w:t>
            </w:r>
          </w:p>
          <w:p w14:paraId="1858A6AA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Autorske, uredničke knjige i priručnici: 23</w:t>
            </w:r>
          </w:p>
        </w:tc>
      </w:tr>
      <w:tr w:rsidR="002A5A13" w:rsidRPr="005F7C22" w14:paraId="05CD9D69" w14:textId="77777777" w:rsidTr="0026513C">
        <w:trPr>
          <w:trHeight w:val="113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402DA9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1.3. Jačanje međunarodne znanstvene suradnje i znanstvene aktivnosti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460C5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uspješnih međunarodnih projektnih prijava u suradnji s međunarodnim partnerima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3E22" w14:textId="5D46835B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Godišnji izvještaj o radu IRMO</w:t>
            </w:r>
            <w:r w:rsidR="00E4252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96CA6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1563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6530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10</w:t>
            </w:r>
          </w:p>
        </w:tc>
      </w:tr>
      <w:tr w:rsidR="002A5A13" w:rsidRPr="005F7C22" w14:paraId="0D4C3EF0" w14:textId="77777777" w:rsidTr="0026513C">
        <w:trPr>
          <w:trHeight w:val="113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1C76C0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bookmarkStart w:id="2" w:name="_Hlk147752079"/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1.4. Jačanje ljudskih potencijala za znanstveni rad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477A9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znanstvenika koji su stekli poslijediplomsku kvalifikaciju ili završili postdoktorsko usavršavanje izvan matičnog javnog visokog učilišta, odnosno javnog znanstvenog instituta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F69BB" w14:textId="6DB1290A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Godišnji izvještaj o radu IRMO</w:t>
            </w:r>
            <w:r w:rsidR="00E4252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814E1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F5CC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68E7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</w:t>
            </w:r>
          </w:p>
        </w:tc>
      </w:tr>
      <w:bookmarkEnd w:id="2"/>
      <w:tr w:rsidR="002A5A13" w:rsidRPr="005F7C22" w14:paraId="3231D82B" w14:textId="77777777" w:rsidTr="0026513C">
        <w:trPr>
          <w:trHeight w:val="113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172892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1.5. Jačanje ljudskih potencijala stručnih službi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C4966" w14:textId="6AF6C1C4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projektnih prijava koje su ostvarene u suradnji sa stručnim službama IRMO</w:t>
            </w:r>
            <w:r w:rsidR="00DC231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-a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829" w14:textId="662C891F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Godišnji izvještaj o radu IRMO</w:t>
            </w:r>
            <w:r w:rsidR="00DC231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22905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93A3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A07E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12</w:t>
            </w:r>
          </w:p>
        </w:tc>
      </w:tr>
      <w:tr w:rsidR="002A5A13" w:rsidRPr="005F7C22" w14:paraId="517B91D2" w14:textId="77777777" w:rsidTr="0026513C">
        <w:trPr>
          <w:trHeight w:val="113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3EADA8" w14:textId="559559E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1.8. Jačanje interdisciplinarnosti znanstveno</w:t>
            </w:r>
            <w:r w:rsidR="00DC231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istraživačkog rada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8DD2D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uspješnih projektnih prijava za interdisciplinarne znanstvene projekte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C458" w14:textId="66BE9578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Godišnji izvještaj o radu IRMO</w:t>
            </w:r>
            <w:r w:rsidR="00DC231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E11E6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8BA9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8379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8</w:t>
            </w:r>
          </w:p>
        </w:tc>
      </w:tr>
      <w:tr w:rsidR="002A5A13" w:rsidRPr="005F7C22" w14:paraId="5B8A66F2" w14:textId="77777777" w:rsidTr="0026513C">
        <w:trPr>
          <w:trHeight w:val="1130"/>
        </w:trPr>
        <w:tc>
          <w:tcPr>
            <w:tcW w:w="9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960F77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</w:p>
          <w:p w14:paraId="73DC0A77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Strateški cilj 2:  Jačanje suradnje s gospodarstvom te razvoj nacionalnog i regionalnog identiteta i kulture</w:t>
            </w:r>
          </w:p>
        </w:tc>
      </w:tr>
      <w:tr w:rsidR="002A5A13" w:rsidRPr="005F7C22" w14:paraId="01CF67E2" w14:textId="77777777" w:rsidTr="0026513C">
        <w:trPr>
          <w:trHeight w:val="113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C4B85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2.1. Poticanje provedbe primijenjenih znanstveno-istraživačkih aktivnosti, uključujući projekte suradnje s gospodarstvom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A25F3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uspješnih projektnih prijava za projekte primijenjenih istraživanja (od čega: projekti u suradnji s gospodarstvom ili u kulturi i obrazovanju)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EC60E" w14:textId="53B19A20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Godišnji izvještaj o radu </w:t>
            </w:r>
            <w:r w:rsidR="00082EB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IRMO-a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0B46A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4296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35</w:t>
            </w:r>
          </w:p>
          <w:p w14:paraId="0EE56CE8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FAFDD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70</w:t>
            </w:r>
          </w:p>
          <w:p w14:paraId="2D5A71E0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2A5A13" w:rsidRPr="005F7C22" w14:paraId="5B103A3D" w14:textId="77777777" w:rsidTr="0026513C">
        <w:trPr>
          <w:trHeight w:val="113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D103D9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2.3. Unaprjeđenje pružanja znanstvenih, istraživačkih ili tehnoloških usluga na slobodnom tržištu uključujući usluge za razvoj kulture i obrazovanja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D5EE5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Vrijednost projekata za usluge gospodarstvu i javnim tijelima u razvoju kulture i obrazovanja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5777" w14:textId="5F72A03B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Godišnji izvještaj o radu </w:t>
            </w:r>
            <w:r w:rsidR="00082EB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IRMO-a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E4A72" w14:textId="4B79D2C5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800.000 </w:t>
            </w:r>
            <w:r w:rsidR="00E42BA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EUR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AC591" w14:textId="26B4D0A6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500.000 </w:t>
            </w:r>
            <w:r w:rsidR="008A2B3F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EUR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8C071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tijekom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dvije godine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1075" w14:textId="5E6354F0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1.000.000 </w:t>
            </w:r>
            <w:r w:rsidR="008A2B3F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EUR</w:t>
            </w:r>
            <w:r w:rsidR="00F825DA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8C0714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tijekom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4 godine </w:t>
            </w:r>
          </w:p>
          <w:p w14:paraId="26064EF8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2A5A13" w:rsidRPr="005F7C22" w14:paraId="44A62F7F" w14:textId="77777777" w:rsidTr="0026513C">
        <w:trPr>
          <w:trHeight w:val="1130"/>
        </w:trPr>
        <w:tc>
          <w:tcPr>
            <w:tcW w:w="9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70E34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</w:p>
          <w:p w14:paraId="7608A4C6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Strateški cilj 4: Jačanje društvene odgovornosti</w:t>
            </w:r>
          </w:p>
        </w:tc>
      </w:tr>
      <w:tr w:rsidR="002A5A13" w:rsidRPr="005F7C22" w14:paraId="2FDAB96C" w14:textId="77777777" w:rsidTr="0026513C">
        <w:trPr>
          <w:trHeight w:val="113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7906CF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4.1. Rad na aktivnostima od nacionalnog značaja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70DB6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formaliziranih suradnji s tijelima državne uprave i javnog sektora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E925" w14:textId="23BE722D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Godišnji izvještaj o radu </w:t>
            </w:r>
            <w:r w:rsidR="00082EB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IRMO-a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DE4BE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D1E9E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C8C2E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</w:t>
            </w:r>
          </w:p>
        </w:tc>
      </w:tr>
      <w:tr w:rsidR="002A5A13" w:rsidRPr="005F7C22" w14:paraId="6BEB81CF" w14:textId="77777777" w:rsidTr="0026513C">
        <w:trPr>
          <w:trHeight w:val="491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82F9C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4.4. Digitalizacija poslovanja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76988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provedenih postupaka digitalne transformacije poslovanja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7BF8" w14:textId="5C2EECE8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Godišnji izvještaj o radu </w:t>
            </w:r>
            <w:r w:rsidR="00082EB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IRMO-a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8B2B6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ACE1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13FDB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7</w:t>
            </w:r>
          </w:p>
        </w:tc>
      </w:tr>
      <w:tr w:rsidR="002A5A13" w:rsidRPr="005F7C22" w14:paraId="6E692A24" w14:textId="77777777" w:rsidTr="0026513C">
        <w:trPr>
          <w:trHeight w:val="113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DFC674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4.6. Popularizacija znanosti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D2B7A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aktivnosti popularizacije znanosti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D144" w14:textId="0F4361D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Godišnji izvještaj o radu </w:t>
            </w:r>
            <w:r w:rsidR="00082EB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IRMO-a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E17C4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31 publikacija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br/>
              <w:t>IRMO aktualno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br/>
            </w:r>
          </w:p>
          <w:p w14:paraId="75D269A1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IRMO </w:t>
            </w:r>
            <w:proofErr w:type="spellStart"/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Brief</w:t>
            </w:r>
            <w:proofErr w:type="spellEnd"/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br/>
              <w:t>48 brojeva godišnje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44DE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20  publikacija IRMO aktualno</w:t>
            </w:r>
          </w:p>
          <w:p w14:paraId="2AFDCA66" w14:textId="270D3B9D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24 publikacij</w:t>
            </w:r>
            <w:r w:rsidR="00266070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e</w:t>
            </w: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 IRMO </w:t>
            </w:r>
            <w:proofErr w:type="spellStart"/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Brief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650C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40 publikacija  IRMO aktualno</w:t>
            </w:r>
          </w:p>
          <w:p w14:paraId="72136DD3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48 publikacija  IRMO </w:t>
            </w:r>
            <w:proofErr w:type="spellStart"/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Brief</w:t>
            </w:r>
            <w:proofErr w:type="spellEnd"/>
          </w:p>
        </w:tc>
      </w:tr>
      <w:tr w:rsidR="002A5A13" w:rsidRPr="005F7C22" w14:paraId="23D4F5A5" w14:textId="77777777" w:rsidTr="0026513C">
        <w:trPr>
          <w:trHeight w:val="1130"/>
        </w:trPr>
        <w:tc>
          <w:tcPr>
            <w:tcW w:w="9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8295E5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</w:p>
          <w:p w14:paraId="53BD64E8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Institucijski cilj </w:t>
            </w:r>
          </w:p>
        </w:tc>
      </w:tr>
      <w:tr w:rsidR="002A5A13" w:rsidRPr="005F7C22" w14:paraId="4F8065D6" w14:textId="77777777" w:rsidTr="0026513C">
        <w:trPr>
          <w:trHeight w:val="1130"/>
        </w:trPr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E07ADB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br/>
              <w:t>Suradnja u pripremi i provedbi obrazovnih programa s visokim učilištima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5FB14" w14:textId="77777777" w:rsidR="007B1A3B" w:rsidRPr="005F7C22" w:rsidRDefault="007B1A3B" w:rsidP="007B1A3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suradnji u studijskim programima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DE7BD" w14:textId="41B4CCF4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Godišnji izvještaj o radu </w:t>
            </w:r>
            <w:r w:rsidR="00082EB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IRMO-a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FFD5A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284F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2489" w14:textId="77777777" w:rsidR="007B1A3B" w:rsidRPr="005F7C22" w:rsidRDefault="007B1A3B" w:rsidP="007B1A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</w:t>
            </w:r>
          </w:p>
        </w:tc>
      </w:tr>
    </w:tbl>
    <w:p w14:paraId="0BCF9E9C" w14:textId="7340999D" w:rsidR="007B1A3B" w:rsidRPr="005F7C22" w:rsidRDefault="007B1A3B" w:rsidP="007B1A3B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hr-HR"/>
        </w:rPr>
      </w:pPr>
      <w:r w:rsidRPr="005F7C22">
        <w:rPr>
          <w:rFonts w:ascii="Times New Roman" w:eastAsia="Calibri" w:hAnsi="Times New Roman" w:cs="Times New Roman"/>
          <w:i/>
          <w:sz w:val="24"/>
          <w:szCs w:val="24"/>
          <w:lang w:val="hr-HR"/>
        </w:rPr>
        <w:t>Izvor: Programski ugovor IRMO</w:t>
      </w:r>
      <w:r w:rsidR="00266070">
        <w:rPr>
          <w:rFonts w:ascii="Times New Roman" w:eastAsia="Calibri" w:hAnsi="Times New Roman" w:cs="Times New Roman"/>
          <w:i/>
          <w:sz w:val="24"/>
          <w:szCs w:val="24"/>
          <w:lang w:val="hr-HR"/>
        </w:rPr>
        <w:t>-a</w:t>
      </w:r>
      <w:r w:rsidRPr="005F7C22">
        <w:rPr>
          <w:rFonts w:ascii="Times New Roman" w:eastAsia="Calibri" w:hAnsi="Times New Roman" w:cs="Times New Roman"/>
          <w:i/>
          <w:sz w:val="24"/>
          <w:szCs w:val="24"/>
          <w:lang w:val="hr-HR"/>
        </w:rPr>
        <w:t>, 2023. godine</w:t>
      </w:r>
    </w:p>
    <w:p w14:paraId="34C49FB9" w14:textId="77777777" w:rsidR="00E336F6" w:rsidRPr="005F7C22" w:rsidRDefault="00E336F6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5D2ACBFB" w14:textId="77777777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DE043BC" w14:textId="77777777" w:rsidR="00ED4F8E" w:rsidRPr="005F7C22" w:rsidRDefault="00ED4F8E" w:rsidP="00ED4F8E">
      <w:pPr>
        <w:keepNext/>
        <w:spacing w:before="480" w:after="240" w:line="240" w:lineRule="auto"/>
        <w:ind w:left="357" w:hanging="35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hr-HR" w:eastAsia="x-none"/>
        </w:rPr>
      </w:pPr>
      <w:bookmarkStart w:id="3" w:name="_Toc19811061"/>
      <w:r w:rsidRPr="005F7C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hr-HR" w:eastAsia="x-none"/>
        </w:rPr>
        <w:t>OBRAZLOŽENJE PROGRAMA</w:t>
      </w:r>
      <w:bookmarkEnd w:id="3"/>
    </w:p>
    <w:p w14:paraId="2F935E30" w14:textId="77777777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3911794" w14:textId="77777777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bookmarkStart w:id="4" w:name="_Hlk50991861"/>
      <w:r w:rsidRPr="005F7C2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2.1. Obrazloženje općeg dijela financijskog plana </w:t>
      </w:r>
    </w:p>
    <w:bookmarkEnd w:id="4"/>
    <w:p w14:paraId="30424ED3" w14:textId="77777777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7AD6C81F" w14:textId="26390AB5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financijskom planu za 202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. godinu za provedbu jedinstvenog programa IRMO-a planirani prihod iznosi 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2.691.264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što je </w:t>
      </w:r>
      <w:r w:rsidR="006166E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8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posto više od plana </w:t>
      </w:r>
      <w:r w:rsidR="004A4546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za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202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4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 g</w:t>
      </w:r>
      <w:r w:rsidR="00266070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odinu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; planirani donos u 202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 g</w:t>
      </w:r>
      <w:r w:rsidR="00266070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odini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je </w:t>
      </w:r>
      <w:r w:rsidR="00AD04D8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4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</w:t>
      </w:r>
      <w:r w:rsidR="00AD04D8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0.000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; ukupni rashodi planirani su u iznosu od </w:t>
      </w:r>
      <w:r w:rsidR="00AD04D8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2.</w:t>
      </w:r>
      <w:r w:rsidR="00976969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820.384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što je 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</w:t>
      </w:r>
      <w:r w:rsidR="006166E7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,88</w:t>
      </w:r>
      <w:r w:rsidR="00F16961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% više od plana 202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4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 g</w:t>
      </w:r>
      <w:r w:rsidR="00266070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odine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. Ukupni </w:t>
      </w:r>
      <w:bookmarkStart w:id="5" w:name="_Hlk52976764"/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planirani prihod sastoji se od prihoda za </w:t>
      </w:r>
      <w:r w:rsidR="0042440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programsko financiranje 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IZVOR 11 (A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622150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)</w:t>
      </w:r>
      <w:r w:rsidR="000F19A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,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u iznosu od 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2.180.472</w:t>
      </w:r>
      <w:r w:rsidR="008C013D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, </w:t>
      </w:r>
      <w:r w:rsidR="000F19A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IZVOR 581 (A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622152</w:t>
      </w:r>
      <w:r w:rsidR="000F19A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) u iznosu od 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94.112</w:t>
      </w:r>
      <w:r w:rsidR="000F19A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EUR; IZVOR 31 (A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622151</w:t>
      </w:r>
      <w:r w:rsidR="000F19A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) u iznosu od 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30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900</w:t>
      </w:r>
      <w:r w:rsidR="000F19A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EUR;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te </w:t>
      </w:r>
      <w:r w:rsidR="000F19A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prihoda od samostalne djelatnosti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IZVORI 31;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51;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52;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(tuzemstvo i inozemstvo)</w:t>
      </w:r>
      <w:r w:rsidR="000F19A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(</w:t>
      </w:r>
      <w:r w:rsidR="00B6415C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A</w:t>
      </w:r>
      <w:r w:rsidR="00876A3D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622153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;) u iznosu od </w:t>
      </w:r>
      <w:r w:rsidR="004E1129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385.780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</w:t>
      </w:r>
    </w:p>
    <w:bookmarkEnd w:id="5"/>
    <w:p w14:paraId="1CC83471" w14:textId="64B2BCB0" w:rsidR="00ED4F8E" w:rsidRPr="005F7C22" w:rsidRDefault="00ED4F8E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financijskom planu za 202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. godinu za provedbu jedinstvenog programa IRMO-a planirani prihod iznosi 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2.692.337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, planirani donos iz 202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 g</w:t>
      </w:r>
      <w:r w:rsidR="00AC1B5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odine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je 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290.880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, dok su ukupni rashodi planirani u iznosu od </w:t>
      </w:r>
      <w:r w:rsidR="00A2504F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2.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763.571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 Ukupni planirani prihod čine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: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prihod za </w:t>
      </w:r>
      <w:r w:rsidR="004567B2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programsko financiranje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IZVOR 11 (</w:t>
      </w:r>
      <w:r w:rsidR="00A2504F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A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622150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) u iznosu od</w:t>
      </w:r>
      <w:r w:rsidR="00FA5CA4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2.180.472</w:t>
      </w:r>
      <w:r w:rsidR="0016633E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, </w:t>
      </w:r>
      <w:r w:rsidR="004567B2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IZVOR 58</w:t>
      </w:r>
      <w:r w:rsidR="00FD2D6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1</w:t>
      </w:r>
      <w:r w:rsidR="004567B2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(A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622152</w:t>
      </w:r>
      <w:r w:rsidR="004567B2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) u iznosu od 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95.185</w:t>
      </w:r>
      <w:r w:rsidR="004567B2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, </w:t>
      </w:r>
      <w:r w:rsidR="004567B2" w:rsidRPr="009639BA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IZVOR 31 (A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622151</w:t>
      </w:r>
      <w:r w:rsidR="004567B2" w:rsidRPr="009639BA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) u iznosu od </w:t>
      </w:r>
      <w:r w:rsidR="004E1129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30.900</w:t>
      </w:r>
      <w:r w:rsidR="004567B2" w:rsidRPr="009639BA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EUR</w:t>
      </w:r>
      <w:r w:rsidR="004567B2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t</w:t>
      </w:r>
      <w:r w:rsidR="004567B2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e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prihodi</w:t>
      </w:r>
      <w:r w:rsidR="00FD2D6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4567B2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o</w:t>
      </w:r>
      <w:r w:rsidR="00FD2D6B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d</w:t>
      </w:r>
      <w:r w:rsidR="004567B2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samostalne djelatnosti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IZVORI 31;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51;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52;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(tuzemstvo i inozemstvo) (</w:t>
      </w:r>
      <w:r w:rsidR="00A2504F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A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622153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) u iznosu od </w:t>
      </w:r>
      <w:r w:rsidR="004E1129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385.780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</w:t>
      </w:r>
    </w:p>
    <w:p w14:paraId="47908B2C" w14:textId="53B8648B" w:rsidR="00ED4F8E" w:rsidRDefault="00ED4F8E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financijskom planu za 202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7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. godinu za provedbu jedinstvenog programa IRMO-a planirani prihod iznosi 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2.</w:t>
      </w:r>
      <w:r w:rsidR="00B140AA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597.152</w:t>
      </w:r>
      <w:r w:rsidR="00FA5CA4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, planirani donos iz 202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. g. je 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219.646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, dok su ukupni rashodi planirani u iznosu od </w:t>
      </w:r>
      <w:r w:rsidR="00A2504F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2.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622.746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. Ukupni planirani prihod sastoji se od prihoda za </w:t>
      </w:r>
      <w:r w:rsidR="00CE0855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programsko financiranje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IZVOR 11 (</w:t>
      </w:r>
      <w:r w:rsidR="00A2504F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A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622150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) u iznosu od 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2.180.472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,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CE0855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EUR; </w:t>
      </w:r>
      <w:r w:rsidR="00CE0855" w:rsidRPr="009639BA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IZVOR 31 (A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622151</w:t>
      </w:r>
      <w:r w:rsidR="00CE0855" w:rsidRPr="009639BA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) u iznosu od 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31.110</w:t>
      </w:r>
      <w:r w:rsidR="00CE0855" w:rsidRPr="009639BA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EUR</w:t>
      </w:r>
      <w:r w:rsidR="00CE0855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te prihoda </w:t>
      </w:r>
      <w:r w:rsidR="00CE0855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od samostalne djelatnosti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IZVORI 31;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51;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52;</w:t>
      </w:r>
      <w:r w:rsidR="00945BD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(tuzemstvo i inozemstvo) (</w:t>
      </w:r>
      <w:r w:rsidR="00A2504F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A</w:t>
      </w:r>
      <w:r w:rsidR="00F415D3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622153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) u iznosu od </w:t>
      </w:r>
      <w:r w:rsidR="004E1129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385.570</w:t>
      </w:r>
      <w:r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</w:t>
      </w:r>
      <w:r w:rsidR="00704777" w:rsidRPr="005F7C22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EUR</w:t>
      </w:r>
      <w:r w:rsidR="00B140AA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.</w:t>
      </w:r>
    </w:p>
    <w:p w14:paraId="67787116" w14:textId="129739A7" w:rsidR="005318D5" w:rsidRDefault="005318D5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4E8B7B48" w14:textId="77777777" w:rsidR="005318D5" w:rsidRPr="005F7C22" w:rsidRDefault="005318D5" w:rsidP="00ED4F8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0F37F2B3" w14:textId="77777777" w:rsidR="00ED4F8E" w:rsidRPr="005F7C22" w:rsidRDefault="00ED4F8E" w:rsidP="00ED4F8E">
      <w:pPr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410"/>
        <w:gridCol w:w="1362"/>
        <w:gridCol w:w="1386"/>
        <w:gridCol w:w="1386"/>
        <w:gridCol w:w="1386"/>
        <w:gridCol w:w="1113"/>
      </w:tblGrid>
      <w:tr w:rsidR="00ED4F8E" w:rsidRPr="005F7C22" w14:paraId="2472F53F" w14:textId="77777777" w:rsidTr="00C56AF6">
        <w:tc>
          <w:tcPr>
            <w:tcW w:w="1533" w:type="dxa"/>
            <w:shd w:val="clear" w:color="auto" w:fill="D9D9D9"/>
          </w:tcPr>
          <w:p w14:paraId="70667D17" w14:textId="77777777" w:rsidR="00ED4F8E" w:rsidRPr="005F7C22" w:rsidRDefault="00ED4F8E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  <w:shd w:val="clear" w:color="auto" w:fill="D9D9D9"/>
            <w:vAlign w:val="center"/>
          </w:tcPr>
          <w:p w14:paraId="26D9C0CF" w14:textId="34475EB0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Izvršenje 202</w:t>
            </w:r>
            <w:r w:rsidR="008B327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0AC69CF2" w14:textId="25E26E69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Plan 202</w:t>
            </w:r>
            <w:r w:rsidR="008B327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4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86" w:type="dxa"/>
            <w:shd w:val="clear" w:color="auto" w:fill="D9D9D9"/>
            <w:vAlign w:val="center"/>
          </w:tcPr>
          <w:p w14:paraId="007F97EE" w14:textId="2D4404A5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Plan 202</w:t>
            </w:r>
            <w:r w:rsidR="008B327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5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86" w:type="dxa"/>
            <w:shd w:val="clear" w:color="auto" w:fill="D9D9D9"/>
            <w:vAlign w:val="center"/>
          </w:tcPr>
          <w:p w14:paraId="39F438CA" w14:textId="46E1EDA4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Plan 202</w:t>
            </w:r>
            <w:r w:rsidR="008B327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6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86" w:type="dxa"/>
            <w:shd w:val="clear" w:color="auto" w:fill="D9D9D9"/>
            <w:vAlign w:val="center"/>
          </w:tcPr>
          <w:p w14:paraId="6933611E" w14:textId="4D4DBC63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Plan 202</w:t>
            </w:r>
            <w:r w:rsidR="008B327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7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113" w:type="dxa"/>
            <w:shd w:val="clear" w:color="auto" w:fill="D9D9D9"/>
            <w:vAlign w:val="center"/>
          </w:tcPr>
          <w:p w14:paraId="7321A8FE" w14:textId="77777777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Indeks</w:t>
            </w:r>
          </w:p>
          <w:p w14:paraId="6D5D0418" w14:textId="38438B45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PLAN 202</w:t>
            </w:r>
            <w:r w:rsidR="008B327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5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 / PLAN 202</w:t>
            </w:r>
            <w:r w:rsidR="008B327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4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ED4F8E" w:rsidRPr="005F7C22" w14:paraId="56F6F7CE" w14:textId="77777777" w:rsidTr="00C56AF6">
        <w:tc>
          <w:tcPr>
            <w:tcW w:w="1533" w:type="dxa"/>
            <w:shd w:val="clear" w:color="auto" w:fill="auto"/>
          </w:tcPr>
          <w:p w14:paraId="69373459" w14:textId="77777777" w:rsidR="00ED4F8E" w:rsidRPr="005F7C22" w:rsidRDefault="00ED4F8E" w:rsidP="00ED4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PRIHOD</w:t>
            </w:r>
          </w:p>
        </w:tc>
        <w:tc>
          <w:tcPr>
            <w:tcW w:w="1410" w:type="dxa"/>
            <w:shd w:val="clear" w:color="auto" w:fill="auto"/>
          </w:tcPr>
          <w:p w14:paraId="05E01898" w14:textId="167F51D0" w:rsidR="00ED4F8E" w:rsidRPr="005F7C22" w:rsidRDefault="008B327B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2.160.923</w:t>
            </w:r>
          </w:p>
        </w:tc>
        <w:tc>
          <w:tcPr>
            <w:tcW w:w="1362" w:type="dxa"/>
            <w:shd w:val="clear" w:color="auto" w:fill="auto"/>
          </w:tcPr>
          <w:p w14:paraId="011C4608" w14:textId="6C1DED4B" w:rsidR="00ED4F8E" w:rsidRPr="005F7C22" w:rsidRDefault="008B327B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2.489.177</w:t>
            </w:r>
          </w:p>
        </w:tc>
        <w:tc>
          <w:tcPr>
            <w:tcW w:w="1386" w:type="dxa"/>
            <w:shd w:val="clear" w:color="auto" w:fill="auto"/>
          </w:tcPr>
          <w:p w14:paraId="34B746F9" w14:textId="08756E6D" w:rsidR="00ED4F8E" w:rsidRPr="005F7C22" w:rsidRDefault="00287E65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</w:t>
            </w:r>
            <w:r w:rsidR="004706C3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691.264</w:t>
            </w:r>
          </w:p>
        </w:tc>
        <w:tc>
          <w:tcPr>
            <w:tcW w:w="1386" w:type="dxa"/>
            <w:shd w:val="clear" w:color="auto" w:fill="auto"/>
          </w:tcPr>
          <w:p w14:paraId="762A7C6C" w14:textId="6E13E017" w:rsidR="00ED4F8E" w:rsidRPr="005F7C22" w:rsidRDefault="00672389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</w:t>
            </w:r>
            <w:r w:rsidR="004706C3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692.337</w:t>
            </w:r>
          </w:p>
        </w:tc>
        <w:tc>
          <w:tcPr>
            <w:tcW w:w="1386" w:type="dxa"/>
            <w:shd w:val="clear" w:color="auto" w:fill="auto"/>
          </w:tcPr>
          <w:p w14:paraId="56F428E4" w14:textId="5A428ECF" w:rsidR="00ED4F8E" w:rsidRPr="005F7C22" w:rsidRDefault="00EC2BE3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</w:t>
            </w:r>
            <w:r w:rsidR="004706C3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597.152</w:t>
            </w:r>
          </w:p>
        </w:tc>
        <w:tc>
          <w:tcPr>
            <w:tcW w:w="1113" w:type="dxa"/>
            <w:shd w:val="clear" w:color="auto" w:fill="auto"/>
          </w:tcPr>
          <w:p w14:paraId="6FD19967" w14:textId="6D9C1E4E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</w:t>
            </w:r>
            <w:r w:rsidR="00FD2D6B"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08</w:t>
            </w:r>
          </w:p>
        </w:tc>
      </w:tr>
      <w:tr w:rsidR="00ED4F8E" w:rsidRPr="005F7C22" w14:paraId="218A14BC" w14:textId="77777777" w:rsidTr="00C56AF6">
        <w:tc>
          <w:tcPr>
            <w:tcW w:w="1533" w:type="dxa"/>
            <w:shd w:val="clear" w:color="auto" w:fill="auto"/>
          </w:tcPr>
          <w:p w14:paraId="5B8D8F8C" w14:textId="77777777" w:rsidR="00ED4F8E" w:rsidRPr="005F7C22" w:rsidRDefault="00ED4F8E" w:rsidP="00ED4F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DONOS</w:t>
            </w:r>
          </w:p>
        </w:tc>
        <w:tc>
          <w:tcPr>
            <w:tcW w:w="1410" w:type="dxa"/>
            <w:shd w:val="clear" w:color="auto" w:fill="auto"/>
          </w:tcPr>
          <w:p w14:paraId="60C8D569" w14:textId="22B2379E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62" w:type="dxa"/>
            <w:shd w:val="clear" w:color="auto" w:fill="auto"/>
          </w:tcPr>
          <w:p w14:paraId="13AFF809" w14:textId="165A33D8" w:rsidR="00ED4F8E" w:rsidRPr="005F7C22" w:rsidRDefault="008B327B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410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  <w:r w:rsidRP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000</w:t>
            </w:r>
          </w:p>
        </w:tc>
        <w:tc>
          <w:tcPr>
            <w:tcW w:w="1386" w:type="dxa"/>
            <w:shd w:val="clear" w:color="auto" w:fill="auto"/>
          </w:tcPr>
          <w:p w14:paraId="60CB3168" w14:textId="42ECCD89" w:rsidR="00ED4F8E" w:rsidRPr="005F7C22" w:rsidRDefault="00287E65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4</w:t>
            </w:r>
            <w:r w:rsid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</w:t>
            </w: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0.000</w:t>
            </w:r>
          </w:p>
        </w:tc>
        <w:tc>
          <w:tcPr>
            <w:tcW w:w="1386" w:type="dxa"/>
            <w:shd w:val="clear" w:color="auto" w:fill="auto"/>
          </w:tcPr>
          <w:p w14:paraId="6E334F33" w14:textId="35DDA106" w:rsidR="00947D52" w:rsidRPr="005F7C22" w:rsidRDefault="00672389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C2BE3"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290.880</w:t>
            </w:r>
          </w:p>
        </w:tc>
        <w:tc>
          <w:tcPr>
            <w:tcW w:w="1386" w:type="dxa"/>
            <w:shd w:val="clear" w:color="auto" w:fill="auto"/>
          </w:tcPr>
          <w:p w14:paraId="4172515C" w14:textId="4BBA4E69" w:rsidR="00ED4F8E" w:rsidRPr="005F7C22" w:rsidRDefault="00ED4F8E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219.646</w:t>
            </w:r>
          </w:p>
        </w:tc>
        <w:tc>
          <w:tcPr>
            <w:tcW w:w="1113" w:type="dxa"/>
            <w:shd w:val="clear" w:color="auto" w:fill="auto"/>
          </w:tcPr>
          <w:p w14:paraId="59A81DBF" w14:textId="71F9EDF9" w:rsidR="00ED4F8E" w:rsidRPr="005F7C22" w:rsidRDefault="00B140AA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D4F8E" w:rsidRPr="005F7C22" w14:paraId="4582D2F7" w14:textId="77777777" w:rsidTr="00C56AF6">
        <w:tc>
          <w:tcPr>
            <w:tcW w:w="1533" w:type="dxa"/>
            <w:shd w:val="clear" w:color="auto" w:fill="auto"/>
          </w:tcPr>
          <w:p w14:paraId="494A3CCC" w14:textId="77777777" w:rsidR="00ED4F8E" w:rsidRPr="005F7C22" w:rsidRDefault="00ED4F8E" w:rsidP="00ED4F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ODNOS</w:t>
            </w:r>
          </w:p>
        </w:tc>
        <w:tc>
          <w:tcPr>
            <w:tcW w:w="1410" w:type="dxa"/>
            <w:shd w:val="clear" w:color="auto" w:fill="auto"/>
          </w:tcPr>
          <w:p w14:paraId="400B4968" w14:textId="03D0E3A1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62" w:type="dxa"/>
            <w:shd w:val="clear" w:color="auto" w:fill="auto"/>
          </w:tcPr>
          <w:p w14:paraId="0C0BF8D2" w14:textId="4EB63829" w:rsidR="00ED4F8E" w:rsidRPr="005F7C22" w:rsidRDefault="004706C3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235.486</w:t>
            </w:r>
          </w:p>
        </w:tc>
        <w:tc>
          <w:tcPr>
            <w:tcW w:w="1386" w:type="dxa"/>
            <w:shd w:val="clear" w:color="auto" w:fill="auto"/>
          </w:tcPr>
          <w:p w14:paraId="42554231" w14:textId="02098D6E" w:rsidR="00ED4F8E" w:rsidRPr="005F7C22" w:rsidRDefault="004706C3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290.880</w:t>
            </w:r>
          </w:p>
        </w:tc>
        <w:tc>
          <w:tcPr>
            <w:tcW w:w="1386" w:type="dxa"/>
            <w:shd w:val="clear" w:color="auto" w:fill="auto"/>
          </w:tcPr>
          <w:p w14:paraId="5BD92A97" w14:textId="687011D1" w:rsidR="00ED4F8E" w:rsidRPr="005F7C22" w:rsidRDefault="00ED4F8E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219.646</w:t>
            </w:r>
          </w:p>
        </w:tc>
        <w:tc>
          <w:tcPr>
            <w:tcW w:w="1386" w:type="dxa"/>
            <w:shd w:val="clear" w:color="auto" w:fill="auto"/>
          </w:tcPr>
          <w:p w14:paraId="3543C610" w14:textId="0428C29E" w:rsidR="00ED4F8E" w:rsidRPr="005F7C22" w:rsidRDefault="00EC2BE3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63661E"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47D52"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194.052</w:t>
            </w:r>
          </w:p>
        </w:tc>
        <w:tc>
          <w:tcPr>
            <w:tcW w:w="1113" w:type="dxa"/>
            <w:shd w:val="clear" w:color="auto" w:fill="auto"/>
          </w:tcPr>
          <w:p w14:paraId="04121A2D" w14:textId="4185CAA9" w:rsidR="00ED4F8E" w:rsidRPr="005F7C22" w:rsidRDefault="00725AF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D4F8E" w:rsidRPr="005F7C22" w14:paraId="756F23BC" w14:textId="77777777" w:rsidTr="00C56AF6">
        <w:tc>
          <w:tcPr>
            <w:tcW w:w="1533" w:type="dxa"/>
            <w:shd w:val="clear" w:color="auto" w:fill="auto"/>
          </w:tcPr>
          <w:p w14:paraId="46E4246C" w14:textId="77777777" w:rsidR="00ED4F8E" w:rsidRPr="005F7C22" w:rsidRDefault="00ED4F8E" w:rsidP="00ED4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RASHOD</w:t>
            </w:r>
          </w:p>
        </w:tc>
        <w:tc>
          <w:tcPr>
            <w:tcW w:w="1410" w:type="dxa"/>
            <w:shd w:val="clear" w:color="auto" w:fill="auto"/>
          </w:tcPr>
          <w:p w14:paraId="39562325" w14:textId="2A7341DB" w:rsidR="00ED4F8E" w:rsidRPr="005F7C22" w:rsidRDefault="008B327B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2.001.096</w:t>
            </w:r>
          </w:p>
        </w:tc>
        <w:tc>
          <w:tcPr>
            <w:tcW w:w="1362" w:type="dxa"/>
            <w:shd w:val="clear" w:color="auto" w:fill="auto"/>
          </w:tcPr>
          <w:p w14:paraId="388F0919" w14:textId="718EA5CB" w:rsidR="00ED4F8E" w:rsidRPr="005F7C22" w:rsidRDefault="008B327B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2.663.691</w:t>
            </w:r>
          </w:p>
        </w:tc>
        <w:tc>
          <w:tcPr>
            <w:tcW w:w="1386" w:type="dxa"/>
            <w:shd w:val="clear" w:color="auto" w:fill="auto"/>
          </w:tcPr>
          <w:p w14:paraId="625CE8EF" w14:textId="4D4E5AA9" w:rsidR="00ED4F8E" w:rsidRPr="005F7C22" w:rsidRDefault="00287E65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</w:t>
            </w:r>
            <w:r w:rsidR="004706C3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820.384</w:t>
            </w:r>
          </w:p>
        </w:tc>
        <w:tc>
          <w:tcPr>
            <w:tcW w:w="1386" w:type="dxa"/>
            <w:shd w:val="clear" w:color="auto" w:fill="auto"/>
          </w:tcPr>
          <w:p w14:paraId="21610566" w14:textId="5B0B9A70" w:rsidR="00ED4F8E" w:rsidRPr="005F7C22" w:rsidRDefault="00672389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</w:t>
            </w:r>
            <w:r w:rsidR="004706C3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763.571</w:t>
            </w:r>
          </w:p>
        </w:tc>
        <w:tc>
          <w:tcPr>
            <w:tcW w:w="1386" w:type="dxa"/>
            <w:shd w:val="clear" w:color="auto" w:fill="auto"/>
          </w:tcPr>
          <w:p w14:paraId="2218D51A" w14:textId="56ADEF49" w:rsidR="00ED4F8E" w:rsidRPr="005F7C22" w:rsidRDefault="00EC2BE3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2.</w:t>
            </w:r>
            <w:r w:rsidR="004706C3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622.746</w:t>
            </w:r>
          </w:p>
          <w:p w14:paraId="2DB3FF05" w14:textId="77777777" w:rsidR="00057B92" w:rsidRPr="005F7C22" w:rsidRDefault="00057B92" w:rsidP="00ED4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13" w:type="dxa"/>
            <w:shd w:val="clear" w:color="auto" w:fill="auto"/>
          </w:tcPr>
          <w:p w14:paraId="6D4B1B9C" w14:textId="7CBF9005" w:rsidR="00ED4F8E" w:rsidRPr="005F7C22" w:rsidRDefault="00ED4F8E" w:rsidP="00ED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F7C2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1,</w:t>
            </w:r>
            <w:r w:rsidR="004706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06</w:t>
            </w:r>
          </w:p>
        </w:tc>
      </w:tr>
    </w:tbl>
    <w:p w14:paraId="43BACB13" w14:textId="77777777" w:rsidR="00ED4F8E" w:rsidRPr="005F7C22" w:rsidRDefault="00ED4F8E" w:rsidP="00ED4F8E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hr-HR"/>
        </w:rPr>
      </w:pPr>
    </w:p>
    <w:p w14:paraId="700D6168" w14:textId="77777777" w:rsidR="00ED4F8E" w:rsidRPr="005F7C22" w:rsidRDefault="00ED4F8E" w:rsidP="00ED4F8E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hr-HR"/>
        </w:rPr>
      </w:pPr>
    </w:p>
    <w:p w14:paraId="4C5EB3E3" w14:textId="77777777" w:rsidR="00ED4F8E" w:rsidRPr="005F7C22" w:rsidRDefault="00ED4F8E" w:rsidP="00ED4F8E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hr-HR"/>
        </w:rPr>
      </w:pPr>
    </w:p>
    <w:p w14:paraId="6827F4E3" w14:textId="77777777" w:rsidR="00ED4F8E" w:rsidRPr="005F7C22" w:rsidRDefault="00ED4F8E" w:rsidP="00ED4F8E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hr-HR"/>
        </w:rPr>
      </w:pPr>
    </w:p>
    <w:p w14:paraId="5FEA981B" w14:textId="77777777" w:rsidR="000C5EA0" w:rsidRPr="005F7C22" w:rsidRDefault="000C5EA0">
      <w:pPr>
        <w:rPr>
          <w:lang w:val="hr-HR"/>
        </w:rPr>
      </w:pPr>
    </w:p>
    <w:sectPr w:rsidR="000C5EA0" w:rsidRPr="005F7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521F6"/>
    <w:multiLevelType w:val="hybridMultilevel"/>
    <w:tmpl w:val="F9F8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98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8E"/>
    <w:rsid w:val="000062B4"/>
    <w:rsid w:val="00057B92"/>
    <w:rsid w:val="00082EBC"/>
    <w:rsid w:val="00094452"/>
    <w:rsid w:val="000A13BE"/>
    <w:rsid w:val="000B3AAE"/>
    <w:rsid w:val="000C5EA0"/>
    <w:rsid w:val="000F19AB"/>
    <w:rsid w:val="001408D4"/>
    <w:rsid w:val="00157852"/>
    <w:rsid w:val="0016088C"/>
    <w:rsid w:val="0016633E"/>
    <w:rsid w:val="00177615"/>
    <w:rsid w:val="001A4534"/>
    <w:rsid w:val="001D78C5"/>
    <w:rsid w:val="00213F41"/>
    <w:rsid w:val="002223F0"/>
    <w:rsid w:val="00266070"/>
    <w:rsid w:val="00287E65"/>
    <w:rsid w:val="00296183"/>
    <w:rsid w:val="002A1D9F"/>
    <w:rsid w:val="002A5A13"/>
    <w:rsid w:val="002A77D6"/>
    <w:rsid w:val="002B0960"/>
    <w:rsid w:val="002B5FF6"/>
    <w:rsid w:val="002C6CBA"/>
    <w:rsid w:val="00303391"/>
    <w:rsid w:val="00374BCD"/>
    <w:rsid w:val="003836D2"/>
    <w:rsid w:val="0039679D"/>
    <w:rsid w:val="003C4517"/>
    <w:rsid w:val="003D5AC3"/>
    <w:rsid w:val="00424407"/>
    <w:rsid w:val="00447AC0"/>
    <w:rsid w:val="004567B2"/>
    <w:rsid w:val="004706C3"/>
    <w:rsid w:val="00481F09"/>
    <w:rsid w:val="004A4546"/>
    <w:rsid w:val="004D7EBD"/>
    <w:rsid w:val="004E1129"/>
    <w:rsid w:val="004E68F7"/>
    <w:rsid w:val="00503486"/>
    <w:rsid w:val="00503B59"/>
    <w:rsid w:val="005318D5"/>
    <w:rsid w:val="00575EB3"/>
    <w:rsid w:val="005868CF"/>
    <w:rsid w:val="005D27CB"/>
    <w:rsid w:val="005F3FD5"/>
    <w:rsid w:val="005F7C22"/>
    <w:rsid w:val="00612FED"/>
    <w:rsid w:val="006166E7"/>
    <w:rsid w:val="00626C0F"/>
    <w:rsid w:val="00627B3D"/>
    <w:rsid w:val="006335DF"/>
    <w:rsid w:val="00635E4B"/>
    <w:rsid w:val="0063661E"/>
    <w:rsid w:val="00670584"/>
    <w:rsid w:val="00672389"/>
    <w:rsid w:val="006A5DF8"/>
    <w:rsid w:val="006C2EFC"/>
    <w:rsid w:val="006F30FF"/>
    <w:rsid w:val="00704777"/>
    <w:rsid w:val="00707069"/>
    <w:rsid w:val="00725AFE"/>
    <w:rsid w:val="00743A29"/>
    <w:rsid w:val="007A776B"/>
    <w:rsid w:val="007B1A3B"/>
    <w:rsid w:val="007C4113"/>
    <w:rsid w:val="007C6771"/>
    <w:rsid w:val="007F5284"/>
    <w:rsid w:val="00845FE1"/>
    <w:rsid w:val="00846738"/>
    <w:rsid w:val="00871A6C"/>
    <w:rsid w:val="00876A3D"/>
    <w:rsid w:val="00883AB8"/>
    <w:rsid w:val="008A21A4"/>
    <w:rsid w:val="008A2B3F"/>
    <w:rsid w:val="008B327B"/>
    <w:rsid w:val="008C013D"/>
    <w:rsid w:val="008C0714"/>
    <w:rsid w:val="008D7BD9"/>
    <w:rsid w:val="009129A0"/>
    <w:rsid w:val="00912ECF"/>
    <w:rsid w:val="00921720"/>
    <w:rsid w:val="00945BD7"/>
    <w:rsid w:val="00947D52"/>
    <w:rsid w:val="009639BA"/>
    <w:rsid w:val="0097452A"/>
    <w:rsid w:val="00976969"/>
    <w:rsid w:val="009B5B1C"/>
    <w:rsid w:val="009D2320"/>
    <w:rsid w:val="009D75D6"/>
    <w:rsid w:val="009F2DC9"/>
    <w:rsid w:val="00A03A30"/>
    <w:rsid w:val="00A2504F"/>
    <w:rsid w:val="00A90832"/>
    <w:rsid w:val="00AA618A"/>
    <w:rsid w:val="00AC1B52"/>
    <w:rsid w:val="00AD04D8"/>
    <w:rsid w:val="00AD5273"/>
    <w:rsid w:val="00B140AA"/>
    <w:rsid w:val="00B14A26"/>
    <w:rsid w:val="00B6415C"/>
    <w:rsid w:val="00BE632A"/>
    <w:rsid w:val="00C7591E"/>
    <w:rsid w:val="00C93AEC"/>
    <w:rsid w:val="00CC0AF0"/>
    <w:rsid w:val="00CC788A"/>
    <w:rsid w:val="00CE0855"/>
    <w:rsid w:val="00CF6435"/>
    <w:rsid w:val="00D5039C"/>
    <w:rsid w:val="00D543DB"/>
    <w:rsid w:val="00D576F1"/>
    <w:rsid w:val="00D91499"/>
    <w:rsid w:val="00DC2314"/>
    <w:rsid w:val="00DF54B7"/>
    <w:rsid w:val="00E336F6"/>
    <w:rsid w:val="00E42524"/>
    <w:rsid w:val="00E42BA1"/>
    <w:rsid w:val="00E62A7B"/>
    <w:rsid w:val="00EA7023"/>
    <w:rsid w:val="00EB0BC9"/>
    <w:rsid w:val="00EB7BF6"/>
    <w:rsid w:val="00EC2BE3"/>
    <w:rsid w:val="00ED4F8E"/>
    <w:rsid w:val="00EE5C5C"/>
    <w:rsid w:val="00F16961"/>
    <w:rsid w:val="00F415D3"/>
    <w:rsid w:val="00F825DA"/>
    <w:rsid w:val="00FA40A0"/>
    <w:rsid w:val="00FA5CA4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18B9"/>
  <w15:chartTrackingRefBased/>
  <w15:docId w15:val="{61D7F359-6963-4E80-B1C6-91B7B79E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A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7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mpavicin</dc:creator>
  <cp:keywords/>
  <dc:description/>
  <cp:lastModifiedBy>Milva Pavičin Karamatić</cp:lastModifiedBy>
  <cp:revision>7</cp:revision>
  <dcterms:created xsi:type="dcterms:W3CDTF">2024-01-05T15:57:00Z</dcterms:created>
  <dcterms:modified xsi:type="dcterms:W3CDTF">2024-11-19T12:55:00Z</dcterms:modified>
</cp:coreProperties>
</file>